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2" w:type="dxa"/>
        <w:tblLayout w:type="fixed"/>
        <w:tblCellMar>
          <w:left w:w="0" w:type="dxa"/>
          <w:right w:w="0" w:type="dxa"/>
        </w:tblCellMar>
        <w:tblLook w:val="00A0" w:firstRow="1" w:lastRow="0" w:firstColumn="1" w:lastColumn="0" w:noHBand="0" w:noVBand="0"/>
      </w:tblPr>
      <w:tblGrid>
        <w:gridCol w:w="9072"/>
      </w:tblGrid>
      <w:tr w:rsidR="00502226" w:rsidRPr="007856EB">
        <w:trPr>
          <w:trHeight w:hRule="exact" w:val="4694"/>
        </w:trPr>
        <w:tc>
          <w:tcPr>
            <w:tcW w:w="9072" w:type="dxa"/>
          </w:tcPr>
          <w:p w:rsidR="00502226" w:rsidRPr="007856EB" w:rsidRDefault="00653F69" w:rsidP="007856EB">
            <w:pPr>
              <w:pStyle w:val="NormalNoSpace"/>
              <w:spacing w:line="240" w:lineRule="auto"/>
              <w:ind w:left="-57"/>
            </w:pPr>
            <w:bookmarkStart w:id="0" w:name="TitlePage"/>
            <w:bookmarkStart w:id="1" w:name="TitlePages"/>
            <w:bookmarkStart w:id="2" w:name="_GoBack"/>
            <w:bookmarkEnd w:id="2"/>
            <w:r>
              <w:rPr>
                <w:noProof/>
                <w:lang w:val="de-DE" w:eastAsia="de-DE"/>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8" r:link="rId9">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anchor>
              </w:drawing>
            </w:r>
            <w:r>
              <w:rPr>
                <w:noProof/>
                <w:lang w:val="de-DE" w:eastAsia="de-DE"/>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anchor>
              </w:drawing>
            </w:r>
          </w:p>
        </w:tc>
      </w:tr>
      <w:tr w:rsidR="00502226" w:rsidRPr="007856EB">
        <w:trPr>
          <w:trHeight w:hRule="exact" w:val="3724"/>
        </w:trPr>
        <w:tc>
          <w:tcPr>
            <w:tcW w:w="9072" w:type="dxa"/>
          </w:tcPr>
          <w:p w:rsidR="00502226" w:rsidRPr="007856EB" w:rsidRDefault="00ED1ED5" w:rsidP="00DE3F5F">
            <w:pPr>
              <w:pStyle w:val="DocTitle"/>
            </w:pPr>
            <w:bookmarkStart w:id="3" w:name="DocTitle1"/>
            <w:r>
              <w:rPr>
                <w:lang w:val="hu"/>
              </w:rPr>
              <w:t xml:space="preserve">Szociális feltételek </w:t>
            </w:r>
            <w:r w:rsidR="00867C47">
              <w:rPr>
                <w:lang w:val="hu"/>
              </w:rPr>
              <w:t xml:space="preserve">a </w:t>
            </w:r>
            <w:r>
              <w:rPr>
                <w:lang w:val="hu"/>
              </w:rPr>
              <w:t xml:space="preserve">városi tömegközlekedési vállalatoknál Európában  </w:t>
            </w:r>
          </w:p>
          <w:bookmarkEnd w:id="3"/>
          <w:p w:rsidR="00502226" w:rsidRPr="00AB56F8" w:rsidRDefault="00ED1ED5" w:rsidP="00AB56F8">
            <w:pPr>
              <w:pStyle w:val="DocTitle"/>
              <w:rPr>
                <w:sz w:val="40"/>
                <w:szCs w:val="40"/>
              </w:rPr>
            </w:pPr>
            <w:r>
              <w:rPr>
                <w:sz w:val="40"/>
                <w:szCs w:val="40"/>
                <w:lang w:val="hu"/>
              </w:rPr>
              <w:t>Ténymegállapítások összefoglalója és következtetések</w:t>
            </w:r>
          </w:p>
          <w:p w:rsidR="00502226" w:rsidRPr="007856EB" w:rsidRDefault="00502226" w:rsidP="00DE3F5F">
            <w:pPr>
              <w:pStyle w:val="DocSubTitle"/>
            </w:pPr>
            <w:bookmarkStart w:id="4" w:name="DocSubTitle1"/>
            <w:bookmarkEnd w:id="4"/>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cs="Calibri"/>
          <w:lang w:val="hu"/>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lang w:val="hu"/>
        </w:rPr>
        <w:t xml:space="preserve">   </w:t>
      </w:r>
      <w:r>
        <w:rPr>
          <w:sz w:val="18"/>
          <w:szCs w:val="18"/>
          <w:lang w:val="hu"/>
        </w:rPr>
        <w:tab/>
      </w:r>
    </w:p>
    <w:p w:rsidR="00502226" w:rsidRDefault="00BA3521">
      <w:pPr>
        <w:sectPr w:rsidR="00502226" w:rsidSect="00C50B29">
          <w:headerReference w:type="default" r:id="rId11"/>
          <w:footerReference w:type="default" r:id="rId12"/>
          <w:headerReference w:type="first" r:id="rId13"/>
          <w:footerReference w:type="first" r:id="rId14"/>
          <w:type w:val="oddPage"/>
          <w:pgSz w:w="11907" w:h="16840" w:code="9"/>
          <w:pgMar w:top="1871" w:right="1418" w:bottom="1021" w:left="1418" w:header="680" w:footer="454" w:gutter="0"/>
          <w:pgNumType w:start="1"/>
          <w:cols w:space="708"/>
          <w:titlePg/>
          <w:docGrid w:linePitch="360"/>
        </w:sectPr>
      </w:pPr>
      <w:r>
        <w:rPr>
          <w:noProof/>
          <w:lang w:val="de-DE" w:eastAsia="de-DE"/>
        </w:rPr>
        <w:drawing>
          <wp:anchor distT="0" distB="0" distL="114300" distR="114300" simplePos="0" relativeHeight="251664384" behindDoc="0" locked="0" layoutInCell="0" allowOverlap="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00E073CF">
        <w:rPr>
          <w:noProof/>
          <w:lang w:val="hu"/>
        </w:rPr>
        <w:pict>
          <v:shapetype id="_x0000_t202" coordsize="21600,21600" o:spt="202" path="m,l,21600r21600,l21600,xe">
            <v:stroke joinstyle="miter"/>
            <v:path gradientshapeok="t" o:connecttype="rect"/>
          </v:shapetype>
          <v:shape id="Textfeld 2" o:spid="_x0000_s1026" type="#_x0000_t202" style="position:absolute;margin-left:184.85pt;margin-top:87.6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" stroked="f">
            <v:textbox>
              <w:txbxContent>
                <w:p w:rsidR="00115DE7" w:rsidRPr="002D4CFB" w:rsidRDefault="00115DE7" w:rsidP="003B3A2C">
                  <w:pPr>
                    <w:jc w:val="both"/>
                    <w:rPr>
                      <w:rFonts w:ascii="Calibri" w:hAnsi="Calibri" w:cs="Calibri"/>
                      <w:b/>
                      <w:bCs/>
                    </w:rPr>
                  </w:pPr>
                  <w:r>
                    <w:rPr>
                      <w:rFonts w:ascii="Calibri" w:hAnsi="Calibri" w:cs="Calibri"/>
                      <w:lang w:val="hu"/>
                    </w:rPr>
                    <w:t>Az Európai Unió pénzügyi támogatásával</w:t>
                  </w:r>
                </w:p>
                <w:p w:rsidR="00115DE7" w:rsidRPr="003B3A2C" w:rsidRDefault="00115DE7"/>
              </w:txbxContent>
            </v:textbox>
          </v:shape>
        </w:pict>
      </w:r>
      <w:r>
        <w:rPr>
          <w:noProof/>
          <w:lang w:val="de-DE" w:eastAsia="de-DE"/>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anchor>
        </w:drawing>
      </w:r>
      <w:r>
        <w:rPr>
          <w:noProof/>
          <w:lang w:val="de-DE" w:eastAsia="de-DE"/>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anchor>
        </w:drawing>
      </w:r>
      <w:r>
        <w:rPr>
          <w:noProof/>
          <w:lang w:val="de-DE" w:eastAsia="de-DE"/>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anchor>
        </w:drawing>
      </w:r>
      <w:r>
        <w:rPr>
          <w:noProof/>
          <w:lang w:val="de-DE" w:eastAsia="de-DE"/>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anchor>
        </w:drawing>
      </w:r>
      <w:r>
        <w:rPr>
          <w:noProof/>
          <w:lang w:val="de-DE" w:eastAsia="de-DE"/>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anchor>
        </w:drawing>
      </w:r>
      <w:r>
        <w:rPr>
          <w:noProof/>
          <w:lang w:val="de-DE" w:eastAsia="de-DE"/>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anchor>
        </w:drawing>
      </w:r>
      <w:r>
        <w:rPr>
          <w:noProof/>
          <w:lang w:val="de-DE" w:eastAsia="de-DE"/>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anchor>
        </w:drawing>
      </w:r>
    </w:p>
    <w:p w:rsidR="00ED1ED5" w:rsidRDefault="00ED1ED5" w:rsidP="00ED1ED5">
      <w:pPr>
        <w:pStyle w:val="berschrift1"/>
      </w:pPr>
      <w:bookmarkStart w:id="5" w:name="_Toc454819825"/>
      <w:bookmarkStart w:id="6" w:name="_Toc447807160"/>
      <w:bookmarkEnd w:id="0"/>
      <w:bookmarkEnd w:id="1"/>
      <w:r>
        <w:rPr>
          <w:lang w:val="hu"/>
        </w:rPr>
        <w:lastRenderedPageBreak/>
        <w:t>Ténymegállapítások összefoglalója és következtetések</w:t>
      </w:r>
      <w:bookmarkEnd w:id="5"/>
      <w:bookmarkEnd w:id="6"/>
    </w:p>
    <w:p w:rsidR="00ED1ED5" w:rsidRPr="00CB27EE" w:rsidRDefault="00ED1ED5" w:rsidP="00461953">
      <w:pPr>
        <w:pStyle w:val="Textkrper"/>
        <w:ind w:left="0"/>
        <w:jc w:val="both"/>
      </w:pPr>
      <w:r>
        <w:rPr>
          <w:lang w:val="hu"/>
        </w:rPr>
        <w:t xml:space="preserve">Jelen okmány összefoglalja a </w:t>
      </w:r>
      <w:r w:rsidR="008C6675">
        <w:rPr>
          <w:lang w:val="hu"/>
        </w:rPr>
        <w:t>„</w:t>
      </w:r>
      <w:r>
        <w:rPr>
          <w:lang w:val="hu"/>
        </w:rPr>
        <w:t xml:space="preserve">Szociális feltételek </w:t>
      </w:r>
      <w:r w:rsidR="002E3C7C">
        <w:rPr>
          <w:lang w:val="hu"/>
        </w:rPr>
        <w:t xml:space="preserve">a </w:t>
      </w:r>
      <w:r>
        <w:rPr>
          <w:lang w:val="hu"/>
        </w:rPr>
        <w:t>városi tömegközlekedési vállalatoknál Európában</w:t>
      </w:r>
      <w:r w:rsidR="008C6675">
        <w:rPr>
          <w:lang w:val="hu"/>
        </w:rPr>
        <w:t>”</w:t>
      </w:r>
      <w:r>
        <w:rPr>
          <w:lang w:val="hu"/>
        </w:rPr>
        <w:t xml:space="preserve"> </w:t>
      </w:r>
      <w:r w:rsidR="002E3C7C">
        <w:rPr>
          <w:lang w:val="hu"/>
        </w:rPr>
        <w:t xml:space="preserve">c. </w:t>
      </w:r>
      <w:r>
        <w:rPr>
          <w:lang w:val="hu"/>
        </w:rPr>
        <w:t>tanulmány legfőbb ténymegállapításait és következtetéseit.</w:t>
      </w:r>
    </w:p>
    <w:p w:rsidR="00ED1ED5" w:rsidRDefault="00ED1ED5" w:rsidP="00ED1ED5">
      <w:pPr>
        <w:pStyle w:val="berschrift3"/>
        <w:numPr>
          <w:ilvl w:val="0"/>
          <w:numId w:val="37"/>
        </w:numPr>
        <w:jc w:val="both"/>
      </w:pPr>
      <w:r>
        <w:rPr>
          <w:lang w:val="hu"/>
        </w:rPr>
        <w:t>A tanulmány hátt</w:t>
      </w:r>
      <w:r w:rsidR="00A233A7">
        <w:rPr>
          <w:lang w:val="hu"/>
        </w:rPr>
        <w:t>e</w:t>
      </w:r>
      <w:r>
        <w:rPr>
          <w:lang w:val="hu"/>
        </w:rPr>
        <w:t>re,  célja és célkitűzései</w:t>
      </w:r>
    </w:p>
    <w:p w:rsidR="00ED1ED5" w:rsidRPr="00867C47" w:rsidRDefault="00ED1ED5" w:rsidP="00461953">
      <w:pPr>
        <w:pStyle w:val="Textkrper"/>
        <w:ind w:left="0"/>
        <w:jc w:val="both"/>
        <w:rPr>
          <w:lang w:val="hu"/>
        </w:rPr>
      </w:pPr>
      <w:r>
        <w:rPr>
          <w:lang w:val="hu"/>
        </w:rPr>
        <w:t xml:space="preserve">A városi tömegközlekedési szolgáltatásnyújtás és annak minősége jelentős szerepet játszik mind a helyi, mind a regionális gazdasági fejlődés támogatásában, a környezetvédelemben és a foglalkoztatási lehetőségek </w:t>
      </w:r>
      <w:r w:rsidR="002E3C7C">
        <w:rPr>
          <w:lang w:val="hu"/>
        </w:rPr>
        <w:t>meg</w:t>
      </w:r>
      <w:r>
        <w:rPr>
          <w:lang w:val="hu"/>
        </w:rPr>
        <w:t>teremtésében csakúgy, mint a társadalmi bevonásban</w:t>
      </w:r>
      <w:r w:rsidR="009A35D4">
        <w:rPr>
          <w:lang w:val="hu"/>
        </w:rPr>
        <w:t>,</w:t>
      </w:r>
      <w:r>
        <w:rPr>
          <w:lang w:val="hu"/>
        </w:rPr>
        <w:t xml:space="preserve"> biztosítva az egyének teljes körű részvételét a családi és szélesebb körű társadalmi életben. Ezenkívül, számos európai városban, a városi tömegközlekedés szolgáltatásnyújtói a helyi foglalkoztatás jelentős szereplői. Az ilyen jellegű szolgáltatások beszerzés</w:t>
      </w:r>
      <w:r w:rsidR="008C6675">
        <w:rPr>
          <w:lang w:val="hu"/>
        </w:rPr>
        <w:t>ével</w:t>
      </w:r>
      <w:r>
        <w:rPr>
          <w:lang w:val="hu"/>
        </w:rPr>
        <w:t xml:space="preserve"> és odaítélés</w:t>
      </w:r>
      <w:r w:rsidR="008C6675">
        <w:rPr>
          <w:lang w:val="hu"/>
        </w:rPr>
        <w:t>ével kapcsolatos előírások</w:t>
      </w:r>
      <w:r>
        <w:rPr>
          <w:lang w:val="hu"/>
        </w:rPr>
        <w:t xml:space="preserve"> éppen ezért kihatással lehet</w:t>
      </w:r>
      <w:r w:rsidR="002E3C7C">
        <w:rPr>
          <w:lang w:val="hu"/>
        </w:rPr>
        <w:t>nek</w:t>
      </w:r>
      <w:r>
        <w:rPr>
          <w:lang w:val="hu"/>
        </w:rPr>
        <w:t xml:space="preserve"> ezekre a tényezőkre. </w:t>
      </w:r>
    </w:p>
    <w:p w:rsidR="00ED1ED5" w:rsidRPr="00867C47" w:rsidRDefault="00ED1ED5" w:rsidP="00ED1ED5">
      <w:pPr>
        <w:pStyle w:val="Textkrper"/>
        <w:ind w:left="0"/>
        <w:jc w:val="both"/>
        <w:rPr>
          <w:lang w:val="hu"/>
        </w:rPr>
      </w:pPr>
      <w:r>
        <w:rPr>
          <w:lang w:val="hu"/>
        </w:rPr>
        <w:t xml:space="preserve">A foglalkoztatás és a szociális feltételek tekintetében megjegyzendő, hogy a közszolgáltatási kötelezettségekről szóló rendelet 4. (5) és 4. (6) cikke lehetővé teszi </w:t>
      </w:r>
      <w:r w:rsidR="008C6675">
        <w:rPr>
          <w:lang w:val="hu"/>
        </w:rPr>
        <w:t xml:space="preserve">az illetékes hatóságok számára </w:t>
      </w:r>
      <w:r>
        <w:rPr>
          <w:lang w:val="hu"/>
        </w:rPr>
        <w:t>(de nem kötelez), hogy megköveteljék a tömegközlekedési szolgáltatóktól a minimális szociális feltételeknek és a szolgáltatás minőségi kritériumainak való megfelelést vagy a személyzet</w:t>
      </w:r>
      <w:r w:rsidR="00A46279">
        <w:rPr>
          <w:lang w:val="hu"/>
        </w:rPr>
        <w:t>ne</w:t>
      </w:r>
      <w:r w:rsidR="005E0B66">
        <w:rPr>
          <w:lang w:val="hu"/>
        </w:rPr>
        <w:t>k</w:t>
      </w:r>
      <w:r>
        <w:rPr>
          <w:lang w:val="hu"/>
        </w:rPr>
        <w:t xml:space="preserve"> az új üzemeltető</w:t>
      </w:r>
      <w:r w:rsidR="005E0B66">
        <w:rPr>
          <w:lang w:val="hu"/>
        </w:rPr>
        <w:t xml:space="preserve"> részére történő rendelkezésre bocsátását</w:t>
      </w:r>
      <w:r>
        <w:rPr>
          <w:lang w:val="hu"/>
        </w:rPr>
        <w:t xml:space="preserve"> a 2001/23/EK irányelv értelmében</w:t>
      </w:r>
      <w:r w:rsidR="005E0B66">
        <w:rPr>
          <w:lang w:val="hu"/>
        </w:rPr>
        <w:t>,</w:t>
      </w:r>
      <w:r>
        <w:rPr>
          <w:lang w:val="hu"/>
        </w:rPr>
        <w:t xml:space="preserve"> még akkor is, ha az irányelv feltételei nem teljesülnek.</w:t>
      </w:r>
    </w:p>
    <w:p w:rsidR="00ED1ED5" w:rsidRPr="00867C47" w:rsidRDefault="00ED1ED5" w:rsidP="00ED1ED5">
      <w:pPr>
        <w:pStyle w:val="Textkrper"/>
        <w:ind w:left="0"/>
        <w:jc w:val="both"/>
        <w:rPr>
          <w:lang w:val="hu"/>
        </w:rPr>
      </w:pPr>
      <w:r>
        <w:rPr>
          <w:lang w:val="hu"/>
        </w:rPr>
        <w:t xml:space="preserve">Az európai szociális partnerek a városi tömegközlekedés (UPT) ágazatban (az UIPT </w:t>
      </w:r>
      <w:r w:rsidR="005E0B66">
        <w:rPr>
          <w:lang w:val="hu"/>
        </w:rPr>
        <w:t xml:space="preserve">- </w:t>
      </w:r>
      <w:r>
        <w:rPr>
          <w:lang w:val="hu"/>
        </w:rPr>
        <w:t>Nemzetközi Tömegközlekedési Szövetség) a munkaadói oldalról és az ETF a szakszervez</w:t>
      </w:r>
      <w:r w:rsidR="00E2016A">
        <w:rPr>
          <w:lang w:val="hu"/>
        </w:rPr>
        <w:t>eti oldalról) tanulmányt készít</w:t>
      </w:r>
      <w:r>
        <w:rPr>
          <w:lang w:val="hu"/>
        </w:rPr>
        <w:t>ettek adatszerzés elsődleges céljával az ágazat piaci szerveződéséről és az azt alátámasztó jogi keretről, csakúgy</w:t>
      </w:r>
      <w:r w:rsidR="005E0B66">
        <w:rPr>
          <w:lang w:val="hu"/>
        </w:rPr>
        <w:t>,</w:t>
      </w:r>
      <w:r>
        <w:rPr>
          <w:lang w:val="hu"/>
        </w:rPr>
        <w:t xml:space="preserve"> mint a foglalkoztatásról, a szociális feltételekről és ezen belül a kollektív tárgyalás szerepéről. A tanulmány a szociális feltételek alakulását hivatott felvázolni az elmúlt tíz évben. Pontosabban, a szociális partnerek át akarták</w:t>
      </w:r>
      <w:r w:rsidR="009B6529">
        <w:rPr>
          <w:lang w:val="hu"/>
        </w:rPr>
        <w:t xml:space="preserve"> </w:t>
      </w:r>
      <w:r>
        <w:rPr>
          <w:lang w:val="hu"/>
        </w:rPr>
        <w:t>látni</w:t>
      </w:r>
      <w:r w:rsidR="00E865FE">
        <w:rPr>
          <w:lang w:val="hu"/>
        </w:rPr>
        <w:t>,</w:t>
      </w:r>
      <w:r>
        <w:rPr>
          <w:lang w:val="hu"/>
        </w:rPr>
        <w:t xml:space="preserve"> mekkora szerepet játszott az 1370/2007-es rendelet az ajánlattevők kötelezésében az egyes szociális feltételek biztosítására és/vagy a személyzet áthelyezésében szolgáltató</w:t>
      </w:r>
      <w:r w:rsidR="009A35D4">
        <w:rPr>
          <w:lang w:val="hu"/>
        </w:rPr>
        <w:t>váltás</w:t>
      </w:r>
      <w:r>
        <w:rPr>
          <w:lang w:val="hu"/>
        </w:rPr>
        <w:t xml:space="preserve"> esetén</w:t>
      </w:r>
      <w:r w:rsidR="00E865FE">
        <w:rPr>
          <w:lang w:val="hu"/>
        </w:rPr>
        <w:t>,</w:t>
      </w:r>
      <w:r>
        <w:rPr>
          <w:lang w:val="hu"/>
        </w:rPr>
        <w:t xml:space="preserve"> valamint</w:t>
      </w:r>
      <w:r w:rsidR="00D838B2">
        <w:rPr>
          <w:lang w:val="hu"/>
        </w:rPr>
        <w:t xml:space="preserve"> azt, hogy</w:t>
      </w:r>
      <w:r>
        <w:rPr>
          <w:lang w:val="hu"/>
        </w:rPr>
        <w:t xml:space="preserve"> milyen kihatással bírt a foglalkoztatás</w:t>
      </w:r>
      <w:r w:rsidR="00A46279">
        <w:rPr>
          <w:lang w:val="hu"/>
        </w:rPr>
        <w:t>-</w:t>
      </w:r>
      <w:r>
        <w:rPr>
          <w:lang w:val="hu"/>
        </w:rPr>
        <w:t xml:space="preserve">biztonságra és a munkafeltételekre az ágazatban. </w:t>
      </w:r>
    </w:p>
    <w:p w:rsidR="00ED1ED5" w:rsidRDefault="00ED1ED5" w:rsidP="00ED1ED5">
      <w:pPr>
        <w:pStyle w:val="Textkrper"/>
        <w:ind w:left="0"/>
        <w:jc w:val="both"/>
      </w:pPr>
      <w:r>
        <w:rPr>
          <w:lang w:val="hu"/>
        </w:rPr>
        <w:t>Az ETF és az UITP gondozásában készült tanulmány</w:t>
      </w:r>
      <w:r w:rsidR="00D838B2">
        <w:rPr>
          <w:lang w:val="hu"/>
        </w:rPr>
        <w:t>nak négy</w:t>
      </w:r>
      <w:r>
        <w:rPr>
          <w:lang w:val="hu"/>
        </w:rPr>
        <w:t xml:space="preserve"> célja</w:t>
      </w:r>
      <w:r w:rsidR="00D838B2">
        <w:rPr>
          <w:lang w:val="hu"/>
        </w:rPr>
        <w:t xml:space="preserve"> van</w:t>
      </w:r>
      <w:r w:rsidR="00E2016A">
        <w:rPr>
          <w:lang w:val="hu"/>
        </w:rPr>
        <w:t xml:space="preserve">. </w:t>
      </w:r>
      <w:r>
        <w:rPr>
          <w:lang w:val="hu"/>
        </w:rPr>
        <w:t xml:space="preserve">Célja, hogy: </w:t>
      </w:r>
    </w:p>
    <w:p w:rsidR="00ED1ED5" w:rsidRDefault="00ED1ED5" w:rsidP="00ED1ED5">
      <w:pPr>
        <w:pStyle w:val="BTBullet1Last"/>
        <w:numPr>
          <w:ilvl w:val="0"/>
          <w:numId w:val="36"/>
        </w:numPr>
        <w:tabs>
          <w:tab w:val="num" w:pos="831"/>
        </w:tabs>
        <w:ind w:left="340"/>
        <w:jc w:val="both"/>
      </w:pPr>
      <w:r>
        <w:rPr>
          <w:lang w:val="hu"/>
        </w:rPr>
        <w:t>leírja</w:t>
      </w:r>
      <w:r w:rsidR="00E865FE">
        <w:rPr>
          <w:lang w:val="hu"/>
        </w:rPr>
        <w:t>,</w:t>
      </w:r>
      <w:r>
        <w:rPr>
          <w:lang w:val="hu"/>
        </w:rPr>
        <w:t xml:space="preserve"> hogyan szerveződik a városi tömegközlekedés a különböző tagállamokban</w:t>
      </w:r>
      <w:r w:rsidR="00E865FE">
        <w:rPr>
          <w:lang w:val="hu"/>
        </w:rPr>
        <w:t>,</w:t>
      </w:r>
      <w:r>
        <w:rPr>
          <w:lang w:val="hu"/>
        </w:rPr>
        <w:t xml:space="preserve"> és hogyan határozzák meg a munkafeltételeket;</w:t>
      </w:r>
    </w:p>
    <w:p w:rsidR="00ED1ED5" w:rsidRDefault="00ED1ED5" w:rsidP="00ED1ED5">
      <w:pPr>
        <w:pStyle w:val="BTBullet1Last"/>
        <w:numPr>
          <w:ilvl w:val="0"/>
          <w:numId w:val="36"/>
        </w:numPr>
        <w:tabs>
          <w:tab w:val="num" w:pos="831"/>
        </w:tabs>
        <w:ind w:left="340"/>
        <w:jc w:val="both"/>
      </w:pPr>
      <w:r>
        <w:rPr>
          <w:lang w:val="hu"/>
        </w:rPr>
        <w:t>leírja a városi tömegközlekedésben dolgozó</w:t>
      </w:r>
      <w:r w:rsidR="00841D87">
        <w:rPr>
          <w:lang w:val="hu"/>
        </w:rPr>
        <w:t>, kiválasztott vállalatok</w:t>
      </w:r>
      <w:r w:rsidR="00E2016A">
        <w:rPr>
          <w:lang w:val="hu"/>
        </w:rPr>
        <w:t xml:space="preserve"> </w:t>
      </w:r>
      <w:r>
        <w:rPr>
          <w:lang w:val="hu"/>
        </w:rPr>
        <w:t>személyzet</w:t>
      </w:r>
      <w:r w:rsidR="00841D87">
        <w:rPr>
          <w:lang w:val="hu"/>
        </w:rPr>
        <w:t>ein</w:t>
      </w:r>
      <w:r w:rsidR="00E2016A">
        <w:rPr>
          <w:lang w:val="hu"/>
        </w:rPr>
        <w:t>ek</w:t>
      </w:r>
      <w:r>
        <w:rPr>
          <w:lang w:val="hu"/>
        </w:rPr>
        <w:t xml:space="preserve"> szociális feltételei</w:t>
      </w:r>
      <w:r w:rsidR="00E865FE">
        <w:rPr>
          <w:lang w:val="hu"/>
        </w:rPr>
        <w:t>t</w:t>
      </w:r>
      <w:r w:rsidR="00841D87">
        <w:rPr>
          <w:lang w:val="hu"/>
        </w:rPr>
        <w:t xml:space="preserve"> </w:t>
      </w:r>
      <w:r>
        <w:rPr>
          <w:lang w:val="hu"/>
        </w:rPr>
        <w:t xml:space="preserve"> és annak alakulását az elmúlt  évtizedben;</w:t>
      </w:r>
    </w:p>
    <w:p w:rsidR="00ED1ED5" w:rsidRDefault="00ED1ED5" w:rsidP="00ED1ED5">
      <w:pPr>
        <w:pStyle w:val="BTBullet1Last"/>
        <w:numPr>
          <w:ilvl w:val="0"/>
          <w:numId w:val="36"/>
        </w:numPr>
        <w:tabs>
          <w:tab w:val="num" w:pos="831"/>
        </w:tabs>
        <w:ind w:left="340"/>
        <w:jc w:val="both"/>
      </w:pPr>
      <w:r>
        <w:rPr>
          <w:lang w:val="hu"/>
        </w:rPr>
        <w:t xml:space="preserve">leírja a közvetlenül és/vagy pályázat útján odaítélt városi tömegközlekedési közszolgáltatási szerződések szociális </w:t>
      </w:r>
      <w:r w:rsidR="00695654">
        <w:rPr>
          <w:lang w:val="hu"/>
        </w:rPr>
        <w:t>szempontjait</w:t>
      </w:r>
      <w:r>
        <w:rPr>
          <w:lang w:val="hu"/>
        </w:rPr>
        <w:t xml:space="preserve"> és a személyzet védelmét és</w:t>
      </w:r>
    </w:p>
    <w:p w:rsidR="00ED1ED5" w:rsidRDefault="00ED1ED5" w:rsidP="00ED1ED5">
      <w:pPr>
        <w:pStyle w:val="BTBullet1Last"/>
        <w:numPr>
          <w:ilvl w:val="0"/>
          <w:numId w:val="36"/>
        </w:numPr>
        <w:tabs>
          <w:tab w:val="num" w:pos="831"/>
        </w:tabs>
        <w:ind w:left="340"/>
        <w:jc w:val="both"/>
      </w:pPr>
      <w:r>
        <w:rPr>
          <w:lang w:val="hu"/>
        </w:rPr>
        <w:t xml:space="preserve">leírja a városi tömegközlekedési üzemeltető változása esetén bekövetkező hatásokat a szociális </w:t>
      </w:r>
      <w:r w:rsidR="00695654">
        <w:rPr>
          <w:lang w:val="hu"/>
        </w:rPr>
        <w:t>szempontokra</w:t>
      </w:r>
      <w:r>
        <w:rPr>
          <w:lang w:val="hu"/>
        </w:rPr>
        <w:t xml:space="preserve"> és a személyzet védelmére.</w:t>
      </w:r>
    </w:p>
    <w:p w:rsidR="00ED1ED5" w:rsidRDefault="00ED1ED5" w:rsidP="00ED1ED5">
      <w:pPr>
        <w:pStyle w:val="Textkrper"/>
        <w:ind w:left="0"/>
        <w:jc w:val="both"/>
      </w:pPr>
      <w:r>
        <w:rPr>
          <w:lang w:val="hu"/>
        </w:rPr>
        <w:t xml:space="preserve">A (korlátozott mennyiségű) tudományos szakirodalomra és egyéb nemzeti és nemzetközi szintű </w:t>
      </w:r>
      <w:r w:rsidR="00695654">
        <w:rPr>
          <w:lang w:val="hu"/>
        </w:rPr>
        <w:t>dokumentum</w:t>
      </w:r>
      <w:r>
        <w:rPr>
          <w:lang w:val="hu"/>
        </w:rPr>
        <w:t>okra alapozva, valamint az ETF és UITP tagok körében végzett felmérés és interjúk alapján, továbbá egyéni elbeszé</w:t>
      </w:r>
      <w:r w:rsidR="00695654">
        <w:rPr>
          <w:lang w:val="hu"/>
        </w:rPr>
        <w:t>l</w:t>
      </w:r>
      <w:r>
        <w:rPr>
          <w:lang w:val="hu"/>
        </w:rPr>
        <w:t>getések alapján munkáltatókkal, munkavállalói képviselőkkel és az illetékes hatóságokkal tizenkét európai tagállamban (AT</w:t>
      </w:r>
      <w:r w:rsidR="00695654">
        <w:rPr>
          <w:lang w:val="hu"/>
        </w:rPr>
        <w:t>,</w:t>
      </w:r>
      <w:r>
        <w:rPr>
          <w:lang w:val="hu"/>
        </w:rPr>
        <w:t xml:space="preserve">BG, BE, CZ, DE, FI, FR, NL, IE, IT, SE, UK) az alábbi lényeges megállapítások </w:t>
      </w:r>
      <w:r w:rsidR="005838F5">
        <w:rPr>
          <w:lang w:val="hu"/>
        </w:rPr>
        <w:t>tehetők</w:t>
      </w:r>
      <w:r>
        <w:rPr>
          <w:lang w:val="hu"/>
        </w:rPr>
        <w:t>.</w:t>
      </w:r>
    </w:p>
    <w:p w:rsidR="00ED1ED5" w:rsidRDefault="00ED1ED5" w:rsidP="00ED1ED5">
      <w:pPr>
        <w:pStyle w:val="berschrift3"/>
        <w:numPr>
          <w:ilvl w:val="0"/>
          <w:numId w:val="37"/>
        </w:numPr>
        <w:jc w:val="both"/>
      </w:pPr>
      <w:r>
        <w:rPr>
          <w:lang w:val="hu"/>
        </w:rPr>
        <w:t>A városi tömegközlekedési szolgáltatások piaci szerveződése</w:t>
      </w:r>
    </w:p>
    <w:p w:rsidR="00ED1ED5" w:rsidRPr="00F127D2" w:rsidRDefault="00ED1ED5" w:rsidP="00ED1ED5">
      <w:pPr>
        <w:pStyle w:val="berschrift4"/>
        <w:numPr>
          <w:ilvl w:val="1"/>
          <w:numId w:val="38"/>
        </w:numPr>
        <w:jc w:val="both"/>
      </w:pPr>
      <w:r>
        <w:rPr>
          <w:lang w:val="hu"/>
        </w:rPr>
        <w:t>Az odaítélési eljárások tendenciái</w:t>
      </w:r>
    </w:p>
    <w:p w:rsidR="00ED1ED5" w:rsidRPr="00867C47" w:rsidRDefault="00ED1ED5" w:rsidP="00ED1ED5">
      <w:pPr>
        <w:pStyle w:val="Textkrper"/>
        <w:ind w:left="0"/>
        <w:jc w:val="both"/>
        <w:rPr>
          <w:lang w:val="hu"/>
        </w:rPr>
      </w:pPr>
      <w:r>
        <w:rPr>
          <w:lang w:val="hu"/>
        </w:rPr>
        <w:t xml:space="preserve">Bár a tagállamok legtöbb fővárosában és nagyvárosában a közszolgáltatási szerződések közvetlen odaítélése továbbra is a leggyakoribb odaítélési eljárás, a versenypályáztatás egyre inkább elterjedt a városi tömegközlekedési szolgáltatások odaítélésekor (legyen szó egyes járatokról vagy hálózatok egészéről) az elmúlt évtizedben. Számos különböző tényező befolyásolta az illetékes hatóságokat abban, hogy ezen odaítélési forma mellett döntsenek (a közvetlen odaítélés </w:t>
      </w:r>
      <w:r w:rsidR="00686D0C">
        <w:rPr>
          <w:lang w:val="hu"/>
        </w:rPr>
        <w:t>helyett</w:t>
      </w:r>
      <w:r>
        <w:rPr>
          <w:lang w:val="hu"/>
        </w:rPr>
        <w:t xml:space="preserve">). Többek között </w:t>
      </w:r>
      <w:r>
        <w:rPr>
          <w:lang w:val="hu"/>
        </w:rPr>
        <w:lastRenderedPageBreak/>
        <w:t>az, hogy a nemzeti jogi keret hellyel-közzel előírja a versenytárgyalási eljárást, de idetartoznak a gazdasági és politikai indíttatások is, melyek össze</w:t>
      </w:r>
      <w:r w:rsidR="00695654">
        <w:rPr>
          <w:lang w:val="hu"/>
        </w:rPr>
        <w:t>függhetnek</w:t>
      </w:r>
      <w:r>
        <w:rPr>
          <w:lang w:val="hu"/>
        </w:rPr>
        <w:t>. A gazdasági válságból adódóan a közfinanszírozás egyre megszorítóbb jelleget ölt</w:t>
      </w:r>
      <w:r w:rsidR="00695654">
        <w:rPr>
          <w:lang w:val="hu"/>
        </w:rPr>
        <w:t>,</w:t>
      </w:r>
      <w:r>
        <w:rPr>
          <w:lang w:val="hu"/>
        </w:rPr>
        <w:t xml:space="preserve"> és egyre inkább afelé tereli az illetékes hatóságokat, hogy versenypályáztatás keretében költség</w:t>
      </w:r>
      <w:r w:rsidR="00585724">
        <w:rPr>
          <w:lang w:val="hu"/>
        </w:rPr>
        <w:t>takarékosabb</w:t>
      </w:r>
      <w:r>
        <w:rPr>
          <w:lang w:val="hu"/>
        </w:rPr>
        <w:t xml:space="preserve"> és hatékony városi tömegközlekedési szolgáltatásokat biztosítsanak. Még ott is, ahol nem a versenytárgyalás</w:t>
      </w:r>
      <w:r w:rsidR="00686D0C">
        <w:rPr>
          <w:lang w:val="hu"/>
        </w:rPr>
        <w:t xml:space="preserve"> mellett döntöttek,</w:t>
      </w:r>
      <w:r>
        <w:rPr>
          <w:lang w:val="hu"/>
        </w:rPr>
        <w:t xml:space="preserve"> érezhető, hogy a belső szolgáltatóknak</w:t>
      </w:r>
      <w:r w:rsidR="005A75CC">
        <w:rPr>
          <w:rStyle w:val="Funotenzeichen"/>
          <w:lang w:val="hu"/>
        </w:rPr>
        <w:footnoteReference w:id="1"/>
      </w:r>
      <w:r>
        <w:rPr>
          <w:lang w:val="hu"/>
        </w:rPr>
        <w:t xml:space="preserve"> </w:t>
      </w:r>
      <w:r w:rsidR="00AE7C66">
        <w:rPr>
          <w:lang w:val="hu"/>
        </w:rPr>
        <w:t xml:space="preserve">közvetlenül odaítélt közszolgáltatási szerződések esetén a közhatóságok </w:t>
      </w:r>
      <w:r>
        <w:rPr>
          <w:lang w:val="hu"/>
        </w:rPr>
        <w:t xml:space="preserve">szintén hasonló költséghatékonyságra törekednek. </w:t>
      </w:r>
    </w:p>
    <w:p w:rsidR="00ED1ED5" w:rsidRPr="00867C47" w:rsidRDefault="00ED1ED5" w:rsidP="00ED1ED5">
      <w:pPr>
        <w:pStyle w:val="Textkrper"/>
        <w:ind w:left="0"/>
        <w:jc w:val="both"/>
        <w:rPr>
          <w:lang w:val="hu"/>
        </w:rPr>
      </w:pPr>
      <w:r>
        <w:rPr>
          <w:lang w:val="hu"/>
        </w:rPr>
        <w:t xml:space="preserve">Hasonlóan, a kilencvenes évek végén, </w:t>
      </w:r>
      <w:r w:rsidR="00686D0C">
        <w:rPr>
          <w:lang w:val="hu"/>
        </w:rPr>
        <w:t xml:space="preserve">az </w:t>
      </w:r>
      <w:r>
        <w:rPr>
          <w:lang w:val="hu"/>
        </w:rPr>
        <w:t xml:space="preserve">egyes </w:t>
      </w:r>
      <w:r w:rsidR="00686D0C">
        <w:rPr>
          <w:lang w:val="hu"/>
        </w:rPr>
        <w:t>érdekelt feleknek</w:t>
      </w:r>
      <w:r>
        <w:rPr>
          <w:lang w:val="hu"/>
        </w:rPr>
        <w:t xml:space="preserve"> a</w:t>
      </w:r>
      <w:r w:rsidR="00585724">
        <w:rPr>
          <w:lang w:val="hu"/>
        </w:rPr>
        <w:t xml:space="preserve"> </w:t>
      </w:r>
      <w:r>
        <w:rPr>
          <w:lang w:val="hu"/>
        </w:rPr>
        <w:t xml:space="preserve">versenypályáztatás </w:t>
      </w:r>
      <w:r w:rsidR="00585724">
        <w:rPr>
          <w:lang w:val="hu"/>
        </w:rPr>
        <w:t>felé történő elmozdulásba</w:t>
      </w:r>
      <w:r>
        <w:rPr>
          <w:lang w:val="hu"/>
        </w:rPr>
        <w:t xml:space="preserve"> vetett hite, amely akkortájt megjelenőben volt európai szinten (a PSO rendelet előkészítésének keretében) és egyes tagállamok politikai és szabályozási törekvései a piac megnyitása felé, szintén hozzájárultak úgy a versenytárgyalási eljárások elterjesztéséhez, mint az egyéb szerkezetátalakítási eljárásokhoz az ágazatban. </w:t>
      </w:r>
    </w:p>
    <w:p w:rsidR="00ED1ED5" w:rsidRPr="00867C47" w:rsidRDefault="00585724" w:rsidP="00ED1ED5">
      <w:pPr>
        <w:pStyle w:val="Textkrper"/>
        <w:ind w:left="0"/>
        <w:jc w:val="both"/>
        <w:rPr>
          <w:lang w:val="hu"/>
        </w:rPr>
      </w:pPr>
      <w:r>
        <w:rPr>
          <w:lang w:val="hu"/>
        </w:rPr>
        <w:t>E</w:t>
      </w:r>
      <w:r w:rsidR="00ED1ED5">
        <w:rPr>
          <w:lang w:val="hu"/>
        </w:rPr>
        <w:t xml:space="preserve"> tendencia ellenére, mely főképp a</w:t>
      </w:r>
      <w:r>
        <w:rPr>
          <w:lang w:val="hu"/>
        </w:rPr>
        <w:t>z autó</w:t>
      </w:r>
      <w:r w:rsidR="00ED1ED5">
        <w:rPr>
          <w:lang w:val="hu"/>
        </w:rPr>
        <w:t xml:space="preserve">busz ágazatra volt jellemző, jelentős különbségek </w:t>
      </w:r>
      <w:r>
        <w:rPr>
          <w:lang w:val="hu"/>
        </w:rPr>
        <w:t>vannak</w:t>
      </w:r>
      <w:r w:rsidR="00ED1ED5">
        <w:rPr>
          <w:lang w:val="hu"/>
        </w:rPr>
        <w:t xml:space="preserve"> a tagállamok között, azokon belül, valamint közlekedési módonként is. Belgiumban, Görögországban, Írországban és Luxemburgban minden városi tömegközlekedési busz szolgáltatást közvetlenül ítélnek oda belső szolgáltatónak. A többi országban, mindkét odaítélési form</w:t>
      </w:r>
      <w:r w:rsidR="00345D63">
        <w:rPr>
          <w:lang w:val="hu"/>
        </w:rPr>
        <w:t>át</w:t>
      </w:r>
      <w:r w:rsidR="00ED1ED5">
        <w:rPr>
          <w:lang w:val="hu"/>
        </w:rPr>
        <w:t xml:space="preserve"> (versenytárgyalási eljárás és/vagy közvetlen odaítélés) </w:t>
      </w:r>
      <w:r w:rsidR="00345D63">
        <w:rPr>
          <w:lang w:val="hu"/>
        </w:rPr>
        <w:t>alkalmazzák</w:t>
      </w:r>
      <w:r w:rsidR="00ED1ED5">
        <w:rPr>
          <w:lang w:val="hu"/>
        </w:rPr>
        <w:t xml:space="preserve"> a busz szolgáltatások tekintetében. Gyakorlatilag több, mint tíz tagállamban elenyésző a versenytárgyalási eljárás</w:t>
      </w:r>
      <w:r w:rsidR="00345D63">
        <w:rPr>
          <w:lang w:val="hu"/>
        </w:rPr>
        <w:t>,</w:t>
      </w:r>
      <w:r w:rsidR="00ED1ED5">
        <w:rPr>
          <w:lang w:val="hu"/>
        </w:rPr>
        <w:t xml:space="preserve"> és csak kis- vagy középméretű városi térségekben járatosak. Az Egyesült Királyságban, Svédországban, Franciaországban (Párizson kívül), Finnországban (</w:t>
      </w:r>
      <w:r w:rsidR="00345D63">
        <w:rPr>
          <w:lang w:val="hu"/>
        </w:rPr>
        <w:t>kizárólag</w:t>
      </w:r>
      <w:r w:rsidR="00ED1ED5">
        <w:rPr>
          <w:lang w:val="hu"/>
        </w:rPr>
        <w:t xml:space="preserve"> Helsinki nagyváros), Hollandiában, Dániában és Norvégiában a versenytárgyalási eljárást már bevezették az 1370/2007/EK rendelet átültetése előtt. A versenytárgyalási eljárások száma különösen megnövekedett Hollandiában és Finnországban az elmúlt évtizedben, mára a buszjáratok több, mint 80%-át teszi ki. Míg Németországban a pályázati úton elnyert szerződések zöme 2008-ra vagy azelőttre nyúlik vissza</w:t>
      </w:r>
      <w:r w:rsidR="00C1181A">
        <w:rPr>
          <w:lang w:val="hu"/>
        </w:rPr>
        <w:t>,</w:t>
      </w:r>
      <w:r w:rsidR="00ED1ED5">
        <w:rPr>
          <w:lang w:val="hu"/>
        </w:rPr>
        <w:t xml:space="preserve"> és főképp a regionális autóbusz-szolgáltatásokra vonatkozik, a legtöbb város közvetlenül ítéli oda belső szolgáltatónak a közszolgáltatási szerződéseket (és sok esetben most első ízben készülnek közvetlen odaítélési eljárásra az 1370/2007/EK rendelet alkalmazása keretében). Olaszországban a versenyeztetési eljárások száma az elmúlt években nőtt, ugyanakkor nem ért el olyan magas szintet</w:t>
      </w:r>
      <w:r w:rsidR="00C1181A">
        <w:rPr>
          <w:lang w:val="hu"/>
        </w:rPr>
        <w:t>,</w:t>
      </w:r>
      <w:r w:rsidR="00ED1ED5">
        <w:rPr>
          <w:lang w:val="hu"/>
        </w:rPr>
        <w:t xml:space="preserve"> mint Franciaországban vagy Hollandiában. </w:t>
      </w:r>
    </w:p>
    <w:p w:rsidR="00ED1ED5" w:rsidRPr="00867C47" w:rsidRDefault="00ED1ED5" w:rsidP="00ED1ED5">
      <w:pPr>
        <w:pStyle w:val="Textkrper"/>
        <w:ind w:left="0"/>
        <w:jc w:val="both"/>
        <w:rPr>
          <w:lang w:val="hu"/>
        </w:rPr>
      </w:pPr>
      <w:r>
        <w:rPr>
          <w:lang w:val="hu"/>
        </w:rPr>
        <w:t>Kivételes helyzet alakult ki az Egyesült Királyságban, ahol a városi autóbusz-szolgáltatások odaítélésének zöme Angliában (Londonon kívül) Walesben és Skóciában kereskedelmi alapon zajlik (nincsenek közszolgáltatási szerződések, sem kizárólagos jogok vagy ellentételezés, hanem a maximális díjtételek pénzügyi ellentételezésére vonatkozó általános szabályok érvényesülnek egyes utaskategóriák esetében)</w:t>
      </w:r>
      <w:r w:rsidR="001A54F0">
        <w:rPr>
          <w:lang w:val="hu"/>
        </w:rPr>
        <w:t>,</w:t>
      </w:r>
      <w:r>
        <w:rPr>
          <w:lang w:val="hu"/>
        </w:rPr>
        <w:t xml:space="preserve"> kivéve a rendkívüli pályáztatásokkal odaítélt, társadalmilag kívánatos busz útvonalak esetét. A kereskedelmi autóbusz-szolgáltatások szintén jellemzőek a német regionális és kisvárosi utasszállításra (bár a jogszabályok tartalmaznak rendelkezéseket a kereskedelmi szempontból életképes városi tömegközlekedési szolgáltatások elsőbbségéről, ami a specifikus német helyzetben az úgynevezett </w:t>
      </w:r>
      <w:r w:rsidR="00C1181A">
        <w:rPr>
          <w:lang w:val="hu"/>
        </w:rPr>
        <w:t>„</w:t>
      </w:r>
      <w:r>
        <w:rPr>
          <w:i/>
          <w:iCs/>
          <w:lang w:val="hu"/>
        </w:rPr>
        <w:t>Eigenwirtschaftliche Verkehre</w:t>
      </w:r>
      <w:r>
        <w:rPr>
          <w:lang w:val="hu"/>
        </w:rPr>
        <w:t>”). Másrészt, a londoni autóbusz-szolgáltatások pályázat útján nyerhetők el</w:t>
      </w:r>
      <w:r w:rsidR="001A54F0">
        <w:rPr>
          <w:lang w:val="hu"/>
        </w:rPr>
        <w:t>,</w:t>
      </w:r>
      <w:r>
        <w:rPr>
          <w:lang w:val="hu"/>
        </w:rPr>
        <w:t xml:space="preserve"> míg Észak-Írországban belső szolgáltató működteti azokat.</w:t>
      </w:r>
    </w:p>
    <w:p w:rsidR="00ED1ED5" w:rsidRPr="00867C47" w:rsidRDefault="00ED1ED5" w:rsidP="00ED1ED5">
      <w:pPr>
        <w:pStyle w:val="Textkrper"/>
        <w:ind w:left="0"/>
        <w:jc w:val="both"/>
        <w:rPr>
          <w:lang w:val="hu"/>
        </w:rPr>
      </w:pPr>
      <w:r>
        <w:rPr>
          <w:lang w:val="hu"/>
        </w:rPr>
        <w:t>Összességében (Franciaország kiugró kivételével), a nagyvárosok integrált hálózatai (</w:t>
      </w:r>
      <w:r w:rsidR="001A54F0">
        <w:rPr>
          <w:lang w:val="hu"/>
        </w:rPr>
        <w:t>autó</w:t>
      </w:r>
      <w:r>
        <w:rPr>
          <w:lang w:val="hu"/>
        </w:rPr>
        <w:t>busz, villamos, helyiérdekű vasút vagy metrószolgáltatások) általában közvetlenül belső szolgáltatóhoz kerülnek</w:t>
      </w:r>
      <w:r w:rsidR="001A54F0">
        <w:rPr>
          <w:lang w:val="hu"/>
        </w:rPr>
        <w:t>,</w:t>
      </w:r>
      <w:r>
        <w:rPr>
          <w:lang w:val="hu"/>
        </w:rPr>
        <w:t xml:space="preserve"> míg az autóbusz-szolgáltatások (főképp a kisvárosokban) versenyeztetési eljárás keretében nyerhetők el. A legtöbb villamos vagy metró szolgáltatást </w:t>
      </w:r>
      <w:r w:rsidR="00814DBB">
        <w:rPr>
          <w:lang w:val="hu"/>
        </w:rPr>
        <w:t xml:space="preserve">(a hálózat részeként) </w:t>
      </w:r>
      <w:r>
        <w:rPr>
          <w:lang w:val="hu"/>
        </w:rPr>
        <w:t>általában közvetlenül belső szolgáltató nyer</w:t>
      </w:r>
      <w:r w:rsidR="00814DBB">
        <w:rPr>
          <w:lang w:val="hu"/>
        </w:rPr>
        <w:t>i</w:t>
      </w:r>
      <w:r>
        <w:rPr>
          <w:lang w:val="hu"/>
        </w:rPr>
        <w:t xml:space="preserve"> el. Csak néhány példa él a villamos-szolgáltatások versenyeztetésére, főképp újonnan beindított szolgáltatások esetében – l</w:t>
      </w:r>
      <w:r w:rsidR="00AE7C66">
        <w:rPr>
          <w:lang w:val="hu"/>
        </w:rPr>
        <w:t>á</w:t>
      </w:r>
      <w:r>
        <w:rPr>
          <w:lang w:val="hu"/>
        </w:rPr>
        <w:t xml:space="preserve">sd például a dublini esettanulmány példáit, a LUAS Network-ot, vagy a versenypályázatra meghirdetett francia vagy </w:t>
      </w:r>
      <w:r w:rsidR="00FC65E3">
        <w:rPr>
          <w:lang w:val="hu"/>
        </w:rPr>
        <w:t>u</w:t>
      </w:r>
      <w:r>
        <w:rPr>
          <w:lang w:val="hu"/>
        </w:rPr>
        <w:t xml:space="preserve">trechti hálózatot. </w:t>
      </w:r>
    </w:p>
    <w:p w:rsidR="00ED1ED5" w:rsidRPr="00867C47" w:rsidRDefault="00ED1ED5" w:rsidP="00ED1ED5">
      <w:pPr>
        <w:pStyle w:val="Textkrper"/>
        <w:ind w:left="0"/>
        <w:jc w:val="both"/>
        <w:rPr>
          <w:lang w:val="hu"/>
        </w:rPr>
      </w:pPr>
      <w:r>
        <w:rPr>
          <w:lang w:val="hu"/>
        </w:rPr>
        <w:lastRenderedPageBreak/>
        <w:t xml:space="preserve">A metró szolgáltatásokra ritkán akad pályázati kiírás, néhány kivétellel, úgymint a Stockholm Metro vagy Franciaországban Lyon, Lille, Rennes vagy Rouen városok metróhálózatai. </w:t>
      </w:r>
    </w:p>
    <w:p w:rsidR="00ED1ED5" w:rsidRPr="00867C47" w:rsidRDefault="00ED1ED5" w:rsidP="00ED1ED5">
      <w:pPr>
        <w:pStyle w:val="Textkrper"/>
        <w:ind w:left="0"/>
        <w:jc w:val="both"/>
        <w:rPr>
          <w:lang w:val="hu"/>
        </w:rPr>
      </w:pPr>
      <w:r>
        <w:rPr>
          <w:lang w:val="hu"/>
        </w:rPr>
        <w:t xml:space="preserve">Lényeges a különbség a pályázati eljárás során meghirdetett autóbusz és a villamos/metró </w:t>
      </w:r>
      <w:r w:rsidR="00AE7C66">
        <w:rPr>
          <w:lang w:val="hu"/>
        </w:rPr>
        <w:t xml:space="preserve">szolgáltatási szerződések </w:t>
      </w:r>
      <w:r>
        <w:rPr>
          <w:lang w:val="hu"/>
        </w:rPr>
        <w:t>között</w:t>
      </w:r>
      <w:r w:rsidR="006027E3">
        <w:rPr>
          <w:lang w:val="hu"/>
        </w:rPr>
        <w:t>,</w:t>
      </w:r>
      <w:r>
        <w:rPr>
          <w:lang w:val="hu"/>
        </w:rPr>
        <w:t xml:space="preserve"> mivel a gördülőállomány és az infrastruktúra a villamos/metró szolgáltatások esetében az ajánlatkérő hatóság tulajdonában marad. </w:t>
      </w:r>
    </w:p>
    <w:p w:rsidR="00ED1ED5" w:rsidRPr="00867C47" w:rsidRDefault="00ED1ED5" w:rsidP="00ED1ED5">
      <w:pPr>
        <w:pStyle w:val="berschrift4"/>
        <w:numPr>
          <w:ilvl w:val="1"/>
          <w:numId w:val="38"/>
        </w:numPr>
        <w:jc w:val="both"/>
        <w:rPr>
          <w:lang w:val="hu"/>
        </w:rPr>
      </w:pPr>
      <w:r>
        <w:rPr>
          <w:lang w:val="hu"/>
        </w:rPr>
        <w:t>Piacszervezési tendenciák: a városi tömegközlekedésben aktív, legfontosabb cégek</w:t>
      </w:r>
    </w:p>
    <w:p w:rsidR="00ED1ED5" w:rsidRPr="00867C47" w:rsidRDefault="00ED1ED5" w:rsidP="00ED1ED5">
      <w:pPr>
        <w:pStyle w:val="Textkrper"/>
        <w:ind w:left="0"/>
        <w:jc w:val="both"/>
        <w:rPr>
          <w:lang w:val="hu"/>
        </w:rPr>
      </w:pPr>
      <w:r>
        <w:rPr>
          <w:lang w:val="hu"/>
        </w:rPr>
        <w:t>A városi tömegközlekedés ágazatára jellemző a belső szolgáltatók jelenléte a fő- és nagyvárosokban (kivételt képeznek az északi országok és néhány francia nagyváros). Ezek a szolgáltatók olyan integrált vállalatok, melyek biztosítják a</w:t>
      </w:r>
      <w:r w:rsidR="00AE7C66">
        <w:rPr>
          <w:lang w:val="hu"/>
        </w:rPr>
        <w:t>z intermodális</w:t>
      </w:r>
      <w:r>
        <w:rPr>
          <w:lang w:val="hu"/>
        </w:rPr>
        <w:t xml:space="preserve"> közlekedési szolgáltatásokat, az infrastruktúrális szolgáltatásokat, a gördülőállományt és a szervizelést. Az autóbusz-szolgáltatás</w:t>
      </w:r>
      <w:r w:rsidR="00AE7C66">
        <w:rPr>
          <w:lang w:val="hu"/>
        </w:rPr>
        <w:t>i szektor</w:t>
      </w:r>
      <w:r>
        <w:rPr>
          <w:lang w:val="hu"/>
        </w:rPr>
        <w:t xml:space="preserve"> egy sor nemzetközi cégből és zömében kis- és középvállalkozásokból tevődik össze. </w:t>
      </w:r>
      <w:r w:rsidR="00810497">
        <w:rPr>
          <w:lang w:val="hu"/>
        </w:rPr>
        <w:t>Fontos megemlíteni</w:t>
      </w:r>
      <w:r>
        <w:rPr>
          <w:lang w:val="hu"/>
        </w:rPr>
        <w:t>, hogy számos nagyvállalat alapított leányvállalatokat (jobbára KKV-k felvásárlásával)</w:t>
      </w:r>
      <w:r w:rsidR="00810497">
        <w:rPr>
          <w:lang w:val="hu"/>
        </w:rPr>
        <w:t>,</w:t>
      </w:r>
      <w:r>
        <w:rPr>
          <w:lang w:val="hu"/>
        </w:rPr>
        <w:t xml:space="preserve"> vagy több középvállalkozás egyesült és vált így nagyvállalattá. </w:t>
      </w:r>
    </w:p>
    <w:p w:rsidR="00ED1ED5" w:rsidRPr="00867C47" w:rsidRDefault="00ED1ED5" w:rsidP="00ED1ED5">
      <w:pPr>
        <w:pStyle w:val="Textkrper"/>
        <w:ind w:left="0"/>
        <w:jc w:val="both"/>
        <w:rPr>
          <w:lang w:val="hu"/>
        </w:rPr>
      </w:pPr>
      <w:r>
        <w:rPr>
          <w:lang w:val="hu"/>
        </w:rPr>
        <w:t>Bár a városi tömegközlekedés</w:t>
      </w:r>
      <w:r w:rsidR="00CA30E5">
        <w:rPr>
          <w:lang w:val="hu"/>
        </w:rPr>
        <w:t>ben</w:t>
      </w:r>
      <w:r>
        <w:rPr>
          <w:lang w:val="hu"/>
        </w:rPr>
        <w:t xml:space="preserve"> továbbra is számos belső szolgáltató</w:t>
      </w:r>
      <w:r w:rsidR="00CA30E5">
        <w:rPr>
          <w:lang w:val="hu"/>
        </w:rPr>
        <w:t xml:space="preserve"> működik</w:t>
      </w:r>
      <w:r>
        <w:rPr>
          <w:lang w:val="hu"/>
        </w:rPr>
        <w:t>, a versenyeztetési eljárás el</w:t>
      </w:r>
      <w:r w:rsidR="00810497">
        <w:rPr>
          <w:lang w:val="hu"/>
        </w:rPr>
        <w:t>terjedése</w:t>
      </w:r>
      <w:r>
        <w:rPr>
          <w:lang w:val="hu"/>
        </w:rPr>
        <w:t xml:space="preserve"> hozzájárult ahhoz, hogy egy sor nemzetközi cég megjelenhessen a piacon</w:t>
      </w:r>
      <w:r w:rsidR="00CA30E5">
        <w:rPr>
          <w:lang w:val="hu"/>
        </w:rPr>
        <w:t>, pl</w:t>
      </w:r>
      <w:r w:rsidR="00223716">
        <w:rPr>
          <w:lang w:val="hu"/>
        </w:rPr>
        <w:t xml:space="preserve">. </w:t>
      </w:r>
      <w:r w:rsidR="00CA30E5">
        <w:rPr>
          <w:lang w:val="hu"/>
        </w:rPr>
        <w:t>több</w:t>
      </w:r>
      <w:r>
        <w:rPr>
          <w:lang w:val="hu"/>
        </w:rPr>
        <w:t xml:space="preserve"> francia cég, mint a Keolis, a Transdev és a RATP Dev</w:t>
      </w:r>
      <w:r w:rsidR="00CA30E5">
        <w:rPr>
          <w:lang w:val="hu"/>
        </w:rPr>
        <w:t>, vagy</w:t>
      </w:r>
      <w:r w:rsidR="00223716">
        <w:rPr>
          <w:lang w:val="hu"/>
        </w:rPr>
        <w:t xml:space="preserve"> </w:t>
      </w:r>
      <w:r w:rsidR="00CA30E5">
        <w:rPr>
          <w:lang w:val="hu"/>
        </w:rPr>
        <w:t>m</w:t>
      </w:r>
      <w:r>
        <w:rPr>
          <w:lang w:val="hu"/>
        </w:rPr>
        <w:t xml:space="preserve">ás számottevő európai üzemeltetők is, mint az Arriva DB, a National Express, a Nobina </w:t>
      </w:r>
      <w:r w:rsidR="00CA30E5">
        <w:rPr>
          <w:lang w:val="hu"/>
        </w:rPr>
        <w:t>és az</w:t>
      </w:r>
      <w:r>
        <w:rPr>
          <w:lang w:val="hu"/>
        </w:rPr>
        <w:t xml:space="preserve"> Abellio (amely a holland NS vasúttársaság leányvállalata). </w:t>
      </w:r>
    </w:p>
    <w:p w:rsidR="00ED1ED5" w:rsidRPr="00867C47" w:rsidRDefault="00ED1ED5" w:rsidP="00ED1ED5">
      <w:pPr>
        <w:pStyle w:val="Textkrper"/>
        <w:ind w:left="0"/>
        <w:jc w:val="both"/>
        <w:rPr>
          <w:lang w:val="hu"/>
        </w:rPr>
      </w:pPr>
      <w:r>
        <w:rPr>
          <w:lang w:val="hu"/>
        </w:rPr>
        <w:t>Ugyanakkor a nemzetközi cégek jelenléte főképp 8 tagállamra jellemző (a 28 elemzett tagállam közül); elsősorban azokra, amelyek széles körben vezették be elsődleges eljárásként a versenytárgyalási eljárást. A tagállamok zömében csak korláto</w:t>
      </w:r>
      <w:r w:rsidR="003F3AF2">
        <w:rPr>
          <w:lang w:val="hu"/>
        </w:rPr>
        <w:t>zott</w:t>
      </w:r>
      <w:r>
        <w:rPr>
          <w:lang w:val="hu"/>
        </w:rPr>
        <w:t xml:space="preserve"> mértékben vannak jelen a városi tömegközlekedés piacán. </w:t>
      </w:r>
    </w:p>
    <w:p w:rsidR="00ED1ED5" w:rsidRPr="00867C47" w:rsidRDefault="003F3AF2" w:rsidP="00ED1ED5">
      <w:pPr>
        <w:pStyle w:val="Textkrper"/>
        <w:ind w:left="0"/>
        <w:jc w:val="both"/>
        <w:rPr>
          <w:lang w:val="hu"/>
        </w:rPr>
      </w:pPr>
      <w:r>
        <w:rPr>
          <w:lang w:val="hu"/>
        </w:rPr>
        <w:t>Pályázat kiírásakor a</w:t>
      </w:r>
      <w:r w:rsidR="00ED1ED5">
        <w:rPr>
          <w:lang w:val="hu"/>
        </w:rPr>
        <w:t xml:space="preserve"> villamos szolgáltatások piacának nemzetközi kulcsszereplői a Keolis és a Transdev</w:t>
      </w:r>
      <w:r w:rsidR="00223716">
        <w:rPr>
          <w:lang w:val="hu"/>
        </w:rPr>
        <w:t>.</w:t>
      </w:r>
      <w:r w:rsidR="00ED1ED5">
        <w:rPr>
          <w:lang w:val="hu"/>
        </w:rPr>
        <w:t xml:space="preserve"> Ugyanakkor, a városi kötöttpályás szolgáltatások legjavát (villamos, helyiérdekű vasút és metró) belső szolgáltatók és állami cégek működtetik (mint</w:t>
      </w:r>
      <w:r w:rsidR="00223716">
        <w:rPr>
          <w:lang w:val="hu"/>
        </w:rPr>
        <w:t xml:space="preserve"> pl</w:t>
      </w:r>
      <w:r w:rsidR="009F621C">
        <w:rPr>
          <w:lang w:val="hu"/>
        </w:rPr>
        <w:t>.</w:t>
      </w:r>
      <w:r w:rsidR="00ED1ED5">
        <w:rPr>
          <w:lang w:val="hu"/>
        </w:rPr>
        <w:t xml:space="preserve"> az RATP Párizsban) minden tagállamban. </w:t>
      </w:r>
    </w:p>
    <w:p w:rsidR="00ED1ED5" w:rsidRPr="00867C47" w:rsidRDefault="00ED1ED5" w:rsidP="00ED1ED5">
      <w:pPr>
        <w:pStyle w:val="Textkrper"/>
        <w:ind w:left="0"/>
        <w:jc w:val="both"/>
        <w:rPr>
          <w:lang w:val="hu"/>
        </w:rPr>
      </w:pPr>
      <w:r>
        <w:rPr>
          <w:lang w:val="hu"/>
        </w:rPr>
        <w:t xml:space="preserve">Összességében az interjúkból és a felmérések eredményeiből kirajzolódott trend alapján elmondható, hogy az elmúlt évtizedben csökkent a belső szolgáltatók száma (és szerepe).  </w:t>
      </w:r>
    </w:p>
    <w:p w:rsidR="00ED1ED5" w:rsidRDefault="00ED1ED5" w:rsidP="00ED1ED5">
      <w:pPr>
        <w:pStyle w:val="berschrift3"/>
        <w:numPr>
          <w:ilvl w:val="0"/>
          <w:numId w:val="37"/>
        </w:numPr>
        <w:jc w:val="both"/>
      </w:pPr>
      <w:r>
        <w:rPr>
          <w:lang w:val="hu"/>
        </w:rPr>
        <w:t>Foglalkoztatás az ágazatban</w:t>
      </w:r>
    </w:p>
    <w:p w:rsidR="00ED1ED5" w:rsidRDefault="00ED1ED5" w:rsidP="00ED1ED5">
      <w:pPr>
        <w:pStyle w:val="Textkrper"/>
        <w:ind w:left="0"/>
        <w:jc w:val="both"/>
      </w:pPr>
      <w:r>
        <w:rPr>
          <w:lang w:val="hu"/>
        </w:rPr>
        <w:t>Nehéz kiszűrni a városi tömegközlekedési ágazat foglalkoztatási adatait</w:t>
      </w:r>
      <w:r w:rsidR="00D731E4">
        <w:rPr>
          <w:lang w:val="hu"/>
        </w:rPr>
        <w:t>,</w:t>
      </w:r>
      <w:r>
        <w:rPr>
          <w:lang w:val="hu"/>
        </w:rPr>
        <w:t xml:space="preserve"> mivel az országos statisztikák többnyire összemossák a különböző személyszállítási adatokat, beleértve a vasúti,  (távolsági)</w:t>
      </w:r>
      <w:r w:rsidR="00D731E4">
        <w:rPr>
          <w:lang w:val="hu"/>
        </w:rPr>
        <w:t xml:space="preserve"> busz</w:t>
      </w:r>
      <w:r>
        <w:rPr>
          <w:lang w:val="hu"/>
        </w:rPr>
        <w:t xml:space="preserve"> és helyközi közlekedést is. </w:t>
      </w:r>
    </w:p>
    <w:p w:rsidR="00ED1ED5" w:rsidRPr="00867C47" w:rsidRDefault="00ED1ED5" w:rsidP="00ED1ED5">
      <w:pPr>
        <w:pStyle w:val="Textkrper"/>
        <w:ind w:left="0"/>
        <w:jc w:val="both"/>
        <w:rPr>
          <w:lang w:val="hu"/>
        </w:rPr>
      </w:pPr>
      <w:r>
        <w:rPr>
          <w:lang w:val="hu"/>
        </w:rPr>
        <w:t>Svédországban és Franciaországban általános személyzeti növekedés észlelhető, főképp a gépjárművezetők számát tekintve. Míg Finnországban és Hollandiában az összfoglalkoztatás stabil maradt, a gépjárművezetők száma enyhén növekedett.  Az Egyesült Királyságban és Belgiumban a munkavállalók száma összességében</w:t>
      </w:r>
      <w:r w:rsidR="00223716">
        <w:rPr>
          <w:lang w:val="hu"/>
        </w:rPr>
        <w:t>, néhány kivételtől eltekintve,</w:t>
      </w:r>
      <w:r>
        <w:rPr>
          <w:lang w:val="hu"/>
        </w:rPr>
        <w:t xml:space="preserve"> </w:t>
      </w:r>
      <w:r w:rsidR="00D731E4">
        <w:rPr>
          <w:lang w:val="hu"/>
        </w:rPr>
        <w:t>nem változott</w:t>
      </w:r>
      <w:r>
        <w:rPr>
          <w:lang w:val="hu"/>
        </w:rPr>
        <w:t xml:space="preserve"> az elmúlt években. Németországban, Olaszországban és Írországban a városi tömegközlekedésben dolgozók száma enyhén csökkent. </w:t>
      </w:r>
    </w:p>
    <w:p w:rsidR="00ED1ED5" w:rsidRPr="00867C47" w:rsidRDefault="00ED1ED5" w:rsidP="00ED1ED5">
      <w:pPr>
        <w:pStyle w:val="Textkrper"/>
        <w:ind w:left="0"/>
        <w:jc w:val="both"/>
        <w:rPr>
          <w:lang w:val="hu"/>
        </w:rPr>
      </w:pPr>
      <w:r>
        <w:rPr>
          <w:lang w:val="hu"/>
        </w:rPr>
        <w:t xml:space="preserve">Az ágazat zömében férfiakból áll, a nők hányada 8-18%-ot tesz ki a projektben tanulmányozott szolgáltatók adatai alapján. </w:t>
      </w:r>
    </w:p>
    <w:p w:rsidR="00ED1ED5" w:rsidRPr="00867C47" w:rsidRDefault="00ED1ED5" w:rsidP="00ED1ED5">
      <w:pPr>
        <w:pStyle w:val="Textkrper"/>
        <w:ind w:left="0"/>
        <w:jc w:val="both"/>
        <w:rPr>
          <w:lang w:val="hu"/>
        </w:rPr>
      </w:pPr>
      <w:r>
        <w:rPr>
          <w:lang w:val="hu"/>
        </w:rPr>
        <w:t xml:space="preserve">A munkavállalók nagy többsége állandó, teljes állású szerződéssel rendelkezik. Hollandiában </w:t>
      </w:r>
      <w:r w:rsidR="00D731E4">
        <w:rPr>
          <w:lang w:val="hu"/>
        </w:rPr>
        <w:t xml:space="preserve">és </w:t>
      </w:r>
      <w:r>
        <w:rPr>
          <w:lang w:val="hu"/>
        </w:rPr>
        <w:t xml:space="preserve">Svédországban a kölcsönzött munkaerő száma nőtt az elmúlt években. </w:t>
      </w:r>
    </w:p>
    <w:p w:rsidR="00ED1ED5" w:rsidRPr="00867C47" w:rsidRDefault="00ED1ED5" w:rsidP="00ED1ED5">
      <w:pPr>
        <w:pStyle w:val="Textkrper"/>
        <w:ind w:left="0"/>
        <w:jc w:val="both"/>
        <w:rPr>
          <w:lang w:val="hu"/>
        </w:rPr>
      </w:pPr>
      <w:r>
        <w:rPr>
          <w:lang w:val="hu"/>
        </w:rPr>
        <w:t xml:space="preserve">A legtöbb országban észlelhető a munkaterhelés növekedése, az a tendencia, ahogy számos munkacsoport nem tud lépést tartani az utasok számának növekedésével; megnövekedett forgalmi torlódások és </w:t>
      </w:r>
      <w:r w:rsidR="00EF11E6">
        <w:rPr>
          <w:lang w:val="hu"/>
        </w:rPr>
        <w:t xml:space="preserve">általában </w:t>
      </w:r>
      <w:r>
        <w:rPr>
          <w:lang w:val="hu"/>
        </w:rPr>
        <w:t>a  munkaidő</w:t>
      </w:r>
      <w:r w:rsidR="00C014A5">
        <w:rPr>
          <w:lang w:val="hu"/>
        </w:rPr>
        <w:t>-</w:t>
      </w:r>
      <w:r>
        <w:rPr>
          <w:lang w:val="hu"/>
        </w:rPr>
        <w:t>beosztás</w:t>
      </w:r>
      <w:r w:rsidR="0052000D">
        <w:rPr>
          <w:lang w:val="hu"/>
        </w:rPr>
        <w:t xml:space="preserve"> </w:t>
      </w:r>
      <w:r>
        <w:rPr>
          <w:lang w:val="hu"/>
        </w:rPr>
        <w:t>, amely a levezetendő órák növekedéséhez vezetett, még olyan esetekben is, ahol a munkaórák száma változatlan maradt.</w:t>
      </w:r>
    </w:p>
    <w:p w:rsidR="00ED1ED5" w:rsidRDefault="00ED1ED5" w:rsidP="00ED1ED5">
      <w:pPr>
        <w:pStyle w:val="berschrift3"/>
        <w:numPr>
          <w:ilvl w:val="0"/>
          <w:numId w:val="37"/>
        </w:numPr>
        <w:jc w:val="both"/>
      </w:pPr>
      <w:r>
        <w:rPr>
          <w:lang w:val="hu"/>
        </w:rPr>
        <w:t>Alvállalkoztatás és kiszervezés</w:t>
      </w:r>
    </w:p>
    <w:p w:rsidR="00ED1ED5" w:rsidRPr="00867C47" w:rsidRDefault="00ED1ED5" w:rsidP="00ED1ED5">
      <w:pPr>
        <w:pStyle w:val="Textkrper"/>
        <w:ind w:left="0"/>
        <w:jc w:val="both"/>
        <w:rPr>
          <w:lang w:val="hu"/>
        </w:rPr>
      </w:pPr>
      <w:r>
        <w:rPr>
          <w:lang w:val="hu"/>
        </w:rPr>
        <w:t>Az alvállalkoztatás olyan opció, melyet számos illetékes hatóság biztosít a pályázati kiírásban a közszolgáltatási kötelezettségekről szóló rendelet 4.7. cikke alapján. Az alvállalkoztatás gyakorlata eredhet történelmi együttműködésből magánfuvarozói kis- és középvállalkozásokkal a hálózat térségében. Az alvállalkoztatás helyzete alaposabb kutatás tárgyát képezte annak tisztázására, vajon az alválla</w:t>
      </w:r>
      <w:r w:rsidR="003164B9">
        <w:rPr>
          <w:lang w:val="hu"/>
        </w:rPr>
        <w:t>l</w:t>
      </w:r>
      <w:r>
        <w:rPr>
          <w:lang w:val="hu"/>
        </w:rPr>
        <w:t>kozók ugyanazon vagy hasonló szociális feltételeket követnek-e, miért járatos az alvállalkoztatás</w:t>
      </w:r>
      <w:r w:rsidR="00BA097B">
        <w:rPr>
          <w:lang w:val="hu"/>
        </w:rPr>
        <w:t>,</w:t>
      </w:r>
      <w:r>
        <w:rPr>
          <w:lang w:val="hu"/>
        </w:rPr>
        <w:t xml:space="preserve"> és hogyan fejlőd</w:t>
      </w:r>
      <w:r w:rsidR="00811BF0">
        <w:rPr>
          <w:lang w:val="hu"/>
        </w:rPr>
        <w:t>ö</w:t>
      </w:r>
      <w:r>
        <w:rPr>
          <w:lang w:val="hu"/>
        </w:rPr>
        <w:t xml:space="preserve">tt az alvállalkoztatás gyakorlata.   </w:t>
      </w:r>
    </w:p>
    <w:p w:rsidR="00ED1ED5" w:rsidRPr="00867C47" w:rsidRDefault="00ED1ED5" w:rsidP="00ED1ED5">
      <w:pPr>
        <w:pStyle w:val="Textkrper"/>
        <w:ind w:left="0"/>
        <w:jc w:val="both"/>
        <w:rPr>
          <w:lang w:val="hu"/>
        </w:rPr>
      </w:pPr>
      <w:r>
        <w:rPr>
          <w:lang w:val="hu"/>
        </w:rPr>
        <w:t>Az esetek többségében, az alvállalkoztatás 15-30%-ig engedélyezett. Kivétel ez alól Belgium, ahol a szerződés</w:t>
      </w:r>
      <w:r w:rsidR="003164B9">
        <w:rPr>
          <w:lang w:val="hu"/>
        </w:rPr>
        <w:t>ek értelmében</w:t>
      </w:r>
      <w:r>
        <w:rPr>
          <w:lang w:val="hu"/>
        </w:rPr>
        <w:t xml:space="preserve">  a belső szolgáltató a szolgáltatások legalább 30%-át és legfeljebb 50%-át </w:t>
      </w:r>
      <w:r w:rsidR="003164B9">
        <w:rPr>
          <w:lang w:val="hu"/>
        </w:rPr>
        <w:t xml:space="preserve">szervezheti ki </w:t>
      </w:r>
      <w:r>
        <w:rPr>
          <w:lang w:val="hu"/>
        </w:rPr>
        <w:t>alvállalkozásba (csak a Vallon és a Flamand Régió</w:t>
      </w:r>
      <w:r w:rsidR="003164B9">
        <w:rPr>
          <w:lang w:val="hu"/>
        </w:rPr>
        <w:t>ban</w:t>
      </w:r>
      <w:r>
        <w:rPr>
          <w:lang w:val="hu"/>
        </w:rPr>
        <w:t>). Olaszországban, Németországban, Hollandiában és Ausztriában az interjú</w:t>
      </w:r>
      <w:r w:rsidR="00BA097B">
        <w:rPr>
          <w:lang w:val="hu"/>
        </w:rPr>
        <w:t>alanyo</w:t>
      </w:r>
      <w:r>
        <w:rPr>
          <w:lang w:val="hu"/>
        </w:rPr>
        <w:t>k úgy vélték</w:t>
      </w:r>
      <w:r w:rsidR="003164B9">
        <w:rPr>
          <w:lang w:val="hu"/>
        </w:rPr>
        <w:t>,</w:t>
      </w:r>
      <w:r>
        <w:rPr>
          <w:lang w:val="hu"/>
        </w:rPr>
        <w:t xml:space="preserve"> az alvállalkoztatás nőtt az elmúlt évtizedben. </w:t>
      </w:r>
    </w:p>
    <w:p w:rsidR="00ED1ED5" w:rsidRPr="00867C47" w:rsidRDefault="00ED1ED5" w:rsidP="00ED1ED5">
      <w:pPr>
        <w:pStyle w:val="Textkrper"/>
        <w:ind w:left="0"/>
        <w:jc w:val="both"/>
        <w:rPr>
          <w:lang w:val="hu"/>
        </w:rPr>
      </w:pPr>
      <w:r>
        <w:rPr>
          <w:lang w:val="hu"/>
        </w:rPr>
        <w:t>A legtöbb országban az alvállalkozók foglalkoztatási feltételei nem egyenrangúak a főüzemeltetőével, a különböző vállalati szintű megállapodások miatt. Többek között az alábbi országokban az alvállalkozók ágazati szintű megállapodások alá tartoznak (csakúgy</w:t>
      </w:r>
      <w:r w:rsidR="003164B9">
        <w:rPr>
          <w:lang w:val="hu"/>
        </w:rPr>
        <w:t>,</w:t>
      </w:r>
      <w:r>
        <w:rPr>
          <w:lang w:val="hu"/>
        </w:rPr>
        <w:t xml:space="preserve"> mint a főüzemeltetők): Finnország, Ausztria, Franciaország, Hollandia (leszámítva a taxis szolgáltatásokat vagy a turistabusz cégeket) és Svédország (ha aláírásra került az ágazati kollektív szerződés). Belgium esetében az alvállalkozók foglalkoztatási feltételei egyenrangúak a főüzemeltetőével a belső szolgáltatótól ezt megkövetelő pályázati kiírásoknak köszönhetően. Általában véve, az alvállalkoztatás úgy tűnik</w:t>
      </w:r>
      <w:r w:rsidR="003164B9">
        <w:rPr>
          <w:lang w:val="hu"/>
        </w:rPr>
        <w:t>,</w:t>
      </w:r>
      <w:r>
        <w:rPr>
          <w:lang w:val="hu"/>
        </w:rPr>
        <w:t xml:space="preserve"> a belső szolgáltatókkal és a helyi KKV-kal</w:t>
      </w:r>
      <w:r w:rsidR="003E6C68">
        <w:rPr>
          <w:lang w:val="hu"/>
        </w:rPr>
        <w:t xml:space="preserve"> kialakított, történelmi jellegű együttműködésekből fakad</w:t>
      </w:r>
      <w:r>
        <w:rPr>
          <w:lang w:val="hu"/>
        </w:rPr>
        <w:t xml:space="preserve">. Az alvállalkozók főképp a külvárosokban vagy a kevésbé lakott területeken aktívak, vagy rugalmasságot nyújtanak az iskolások utaztatásában vagy egyéb közlekedési szolgáltatásokban. Ezenfelül, az alvállalkoztatást költséghatékonyabb szolgáltatásnak tekintik. Ez úgy igaz a közvetlenül odaítélt szolgáltatásokra, mint a versenytárgyalási eljárások helyzetére. </w:t>
      </w:r>
    </w:p>
    <w:p w:rsidR="00ED1ED5" w:rsidRPr="00867C47" w:rsidRDefault="003164B9" w:rsidP="005A75CC">
      <w:pPr>
        <w:pStyle w:val="Textkrper"/>
        <w:tabs>
          <w:tab w:val="left" w:pos="7655"/>
        </w:tabs>
        <w:ind w:left="0"/>
        <w:jc w:val="both"/>
        <w:rPr>
          <w:lang w:val="hu"/>
        </w:rPr>
      </w:pPr>
      <w:r>
        <w:rPr>
          <w:lang w:val="hu"/>
        </w:rPr>
        <w:t xml:space="preserve">A </w:t>
      </w:r>
      <w:r w:rsidR="00ED1ED5">
        <w:rPr>
          <w:lang w:val="hu"/>
        </w:rPr>
        <w:t xml:space="preserve">kiszervezés fejlődése </w:t>
      </w:r>
      <w:r>
        <w:rPr>
          <w:lang w:val="hu"/>
        </w:rPr>
        <w:t xml:space="preserve">is </w:t>
      </w:r>
      <w:r w:rsidR="00ED1ED5">
        <w:rPr>
          <w:lang w:val="hu"/>
        </w:rPr>
        <w:t>elemzésre került és az</w:t>
      </w:r>
      <w:r w:rsidR="00811BF0">
        <w:rPr>
          <w:lang w:val="hu"/>
        </w:rPr>
        <w:t>,</w:t>
      </w:r>
      <w:r w:rsidR="00ED1ED5">
        <w:rPr>
          <w:lang w:val="hu"/>
        </w:rPr>
        <w:t xml:space="preserve"> </w:t>
      </w:r>
      <w:r>
        <w:rPr>
          <w:lang w:val="hu"/>
        </w:rPr>
        <w:t xml:space="preserve">hogy a kiszervezés várhatóan milyen szerepet kap a jövőben </w:t>
      </w:r>
      <w:r w:rsidR="00ED1ED5">
        <w:rPr>
          <w:lang w:val="hu"/>
        </w:rPr>
        <w:t xml:space="preserve"> a városi tömegközlekedés ágazatában.  A tanulmány során megfigyelésre került, hogy a kiszervezés főképp a </w:t>
      </w:r>
      <w:r w:rsidR="00A9265E">
        <w:rPr>
          <w:lang w:val="hu"/>
        </w:rPr>
        <w:t>(műszaki)</w:t>
      </w:r>
      <w:r w:rsidR="007A4303">
        <w:rPr>
          <w:lang w:val="hu"/>
        </w:rPr>
        <w:t xml:space="preserve"> </w:t>
      </w:r>
      <w:r w:rsidR="00ED1ED5">
        <w:rPr>
          <w:lang w:val="hu"/>
        </w:rPr>
        <w:t>karbantartást</w:t>
      </w:r>
      <w:r w:rsidR="00A9265E">
        <w:rPr>
          <w:lang w:val="hu"/>
        </w:rPr>
        <w:t>,</w:t>
      </w:r>
      <w:r w:rsidR="00ED1ED5">
        <w:rPr>
          <w:lang w:val="hu"/>
        </w:rPr>
        <w:t xml:space="preserve"> a biztonságot és a járműtisztítási szolgáltatásokat érinti. Ez az a tendencia, amely mélyrehatóan érint minden országot, egyaránt a belső és magánszolgáltatókat, bár nem azonos mértékben.  A belső szolgáltatók a karbantartási és a házon belüli járműtisztítási szolgáltatások jelentős részét rendszerint elvégzik. A biztonsági szolgáltatások kiszervezése a leggyakoribb. A </w:t>
      </w:r>
      <w:r w:rsidR="00426708">
        <w:rPr>
          <w:lang w:val="hu"/>
        </w:rPr>
        <w:t>(</w:t>
      </w:r>
      <w:r w:rsidR="007A4303">
        <w:rPr>
          <w:lang w:val="hu"/>
        </w:rPr>
        <w:t xml:space="preserve">műszaki) </w:t>
      </w:r>
      <w:r w:rsidR="00ED1ED5">
        <w:rPr>
          <w:lang w:val="hu"/>
        </w:rPr>
        <w:t xml:space="preserve">karbantartás kiszervezése lehet stratégiai döntés a versenytárgyalási eljárás esetén, mint ahogy azt már említettük Finnország, Svédország és Hollandia kapcsán. </w:t>
      </w:r>
    </w:p>
    <w:p w:rsidR="00ED1ED5" w:rsidRDefault="00ED1ED5" w:rsidP="00ED1ED5">
      <w:pPr>
        <w:pStyle w:val="Textkrper"/>
        <w:ind w:left="0"/>
        <w:jc w:val="both"/>
      </w:pPr>
      <w:r>
        <w:rPr>
          <w:lang w:val="hu"/>
        </w:rPr>
        <w:t>Nem volt mód felmérni</w:t>
      </w:r>
      <w:r w:rsidR="005A058A">
        <w:rPr>
          <w:lang w:val="hu"/>
        </w:rPr>
        <w:t>,</w:t>
      </w:r>
      <w:r>
        <w:rPr>
          <w:lang w:val="hu"/>
        </w:rPr>
        <w:t xml:space="preserve"> milyen mértékben különböznek a kiszervezett dolgozók szociális feltételei</w:t>
      </w:r>
      <w:r w:rsidR="00362DAA">
        <w:rPr>
          <w:lang w:val="hu"/>
        </w:rPr>
        <w:t>,</w:t>
      </w:r>
      <w:r>
        <w:rPr>
          <w:lang w:val="hu"/>
        </w:rPr>
        <w:t xml:space="preserve"> mivel ez nagyban függ az adott szakmától és a kollektív tárgyalás keret</w:t>
      </w:r>
      <w:r w:rsidR="00362DAA">
        <w:rPr>
          <w:lang w:val="hu"/>
        </w:rPr>
        <w:t>rendszer</w:t>
      </w:r>
      <w:r>
        <w:rPr>
          <w:lang w:val="hu"/>
        </w:rPr>
        <w:t>étől. Azokban az országokban, ahol a kollektív tárgyalási keret jellege magával vonja, hogy a kiszervezett dolgozók ugyanazon megállapodás alá tartozzanak, érvényesül az, hogy a kiszervezett dolgozók ugyanolyan körülményekre és feltételekre jogosultak.  Ugyanerre más országokban nincs garancia.</w:t>
      </w:r>
    </w:p>
    <w:p w:rsidR="00ED1ED5" w:rsidRDefault="00ED1ED5" w:rsidP="00ED1ED5">
      <w:pPr>
        <w:pStyle w:val="berschrift3"/>
        <w:numPr>
          <w:ilvl w:val="0"/>
          <w:numId w:val="37"/>
        </w:numPr>
        <w:jc w:val="both"/>
      </w:pPr>
      <w:r>
        <w:rPr>
          <w:lang w:val="hu"/>
        </w:rPr>
        <w:t>Foglalkoztatás és szociális feltételek a városi tömegközlekedési szektorban</w:t>
      </w:r>
    </w:p>
    <w:p w:rsidR="00ED1ED5" w:rsidRPr="00867C47" w:rsidRDefault="00ED1ED5" w:rsidP="00ED1ED5">
      <w:pPr>
        <w:pStyle w:val="Textkrper"/>
        <w:ind w:left="0"/>
        <w:jc w:val="both"/>
        <w:rPr>
          <w:lang w:val="hu"/>
        </w:rPr>
      </w:pPr>
      <w:r>
        <w:rPr>
          <w:lang w:val="hu"/>
        </w:rPr>
        <w:t>Mint minden ágazatban, itt is a törvény alapozza meg a városi tömegközlekedési ágazatra vonatkozó minimum foglalkoztatási követelményeket és szociális feltételeket. Az Uniós jogszabályok átültetése a nemzeti jogba jelentős szerepet játszik a munkaórák, a munkavédelem és az alapvető képzési követelmények keretének felállításakor.  Ugyanakkor a városi tömegközlekedés ágazatában ezeket a jogszabályokat jobbára nemzeti vagy regionális ágazati szinten illetve vállalati szinten tárgyalt kollektív szerződésekkel lehet erősíteni.  A kollektív tárgyalás szintje és tartalma különösen jelentős versenytárgyalási eljárás esetén, mivel módjában áll olyan jogalapot teremteni, melyet az ágazat minden cégének tiszteletben kell tartania. Ez az eset áll fenn valahányszor nemzeti ágazati szinten folyik a kollektív tárgyalás és a kollektív szerződések általánosan kötelező érvényűek</w:t>
      </w:r>
      <w:r w:rsidR="005C7FF6">
        <w:rPr>
          <w:lang w:val="hu"/>
        </w:rPr>
        <w:t>,</w:t>
      </w:r>
      <w:r>
        <w:rPr>
          <w:lang w:val="hu"/>
        </w:rPr>
        <w:t xml:space="preserve"> vagy a szolgáltatók többségére alkalmazhatóak a szociális partnerszervezetek magas szervezeti fokának köszönhetően munkáltatói oldalról. De még az ilyen szintű ágazati kollektív szerződések esetében is fontos megjegyezni, hogy a benne szereplő normákat gyakran meghaladják azok a vállalati szintű kollektív szerződések vagy céges gyakorlatok, ahol az ágazati kollektív szerződés minimum feltételeket szab meg. Ez kihatással lehet cégek közti versenytárgyalási eljárásokra, mivel egyes vállalatok különböző vállalati szintű megállapodások alapján kénytelenek vetélkedni, feltehetően előnyben részesítve az alacsonyabb bérfeltételekkel működő céget. Különösen az autóbusz-s</w:t>
      </w:r>
      <w:r w:rsidR="00216F0E">
        <w:rPr>
          <w:lang w:val="hu"/>
        </w:rPr>
        <w:t>zolgáltatások versenytárgyalása</w:t>
      </w:r>
      <w:r>
        <w:rPr>
          <w:lang w:val="hu"/>
        </w:rPr>
        <w:t>kor játszik jelentős szerepet a bérek szintje, mivel a szolgáltatás intenzív munkavégzéssel jár</w:t>
      </w:r>
      <w:r w:rsidR="005A058A">
        <w:rPr>
          <w:lang w:val="hu"/>
        </w:rPr>
        <w:t>,</w:t>
      </w:r>
      <w:r>
        <w:rPr>
          <w:lang w:val="hu"/>
        </w:rPr>
        <w:t xml:space="preserve"> és ebben jelentős részt foglal el a</w:t>
      </w:r>
      <w:r w:rsidR="00216F0E">
        <w:rPr>
          <w:lang w:val="hu"/>
        </w:rPr>
        <w:t xml:space="preserve"> bérköltség.  Üzemeltető váltás</w:t>
      </w:r>
      <w:r>
        <w:rPr>
          <w:lang w:val="hu"/>
        </w:rPr>
        <w:t xml:space="preserve"> esetén, az új szolgáltatóhoz átkerülő személyzet esetlegesen elveszítheti megszerzett jogait és feltételeit, ha az új üzemeltető alacsonyabb szintű jogokat és feltételeket kínál. Egy ilyen hatáson enyhíthet a</w:t>
      </w:r>
      <w:r w:rsidR="0073396D">
        <w:rPr>
          <w:lang w:val="hu"/>
        </w:rPr>
        <w:t>z operatív</w:t>
      </w:r>
      <w:r>
        <w:rPr>
          <w:lang w:val="hu"/>
        </w:rPr>
        <w:t xml:space="preserve"> személyzet kötelező áthelyezésének lehetősége (úgy a jogok mint a feltételek átvétele) jogszabály vagy az illetékes hatóság elrendelésére; tárgyalásos alapon a szociális partnerekkel vagy a pályázati kiírás előírásaként, amely kötelez olyan dolgozói bázis fenntartására, ahonnan az új szolgáltató köteles felvenni</w:t>
      </w:r>
      <w:r w:rsidR="000E07B2">
        <w:rPr>
          <w:lang w:val="hu"/>
        </w:rPr>
        <w:t>,</w:t>
      </w:r>
      <w:r>
        <w:rPr>
          <w:lang w:val="hu"/>
        </w:rPr>
        <w:t xml:space="preserve"> garantálva a spec</w:t>
      </w:r>
      <w:r w:rsidR="00216F0E">
        <w:rPr>
          <w:lang w:val="hu"/>
        </w:rPr>
        <w:t xml:space="preserve">ifikus jogokat és feltételeket </w:t>
      </w:r>
      <w:r>
        <w:rPr>
          <w:lang w:val="hu"/>
        </w:rPr>
        <w:t xml:space="preserve">vagy az illetékes hatóság bekérheti a pályázati kiírásban a bérszámfejtési alapot (a meglévő üzemeltetőtől vagy az ágazati szintű megállapodásra hagyatkozva). </w:t>
      </w:r>
    </w:p>
    <w:p w:rsidR="00ED1ED5" w:rsidRPr="00867C47" w:rsidRDefault="00ED1ED5" w:rsidP="00ED1ED5">
      <w:pPr>
        <w:pStyle w:val="Textkrper"/>
        <w:ind w:left="0"/>
        <w:jc w:val="both"/>
        <w:rPr>
          <w:lang w:val="hu"/>
        </w:rPr>
      </w:pPr>
      <w:r>
        <w:rPr>
          <w:lang w:val="hu"/>
        </w:rPr>
        <w:t>A tüzetesebben elemzett 12 ország</w:t>
      </w:r>
      <w:r w:rsidR="000E07B2">
        <w:rPr>
          <w:lang w:val="hu"/>
        </w:rPr>
        <w:t xml:space="preserve"> közül</w:t>
      </w:r>
      <w:r>
        <w:rPr>
          <w:lang w:val="hu"/>
        </w:rPr>
        <w:t xml:space="preserve"> az alábbi hét ország rendelkezik ágazati szintű kollektív szerződéssel: Ausztria, Finnország, Franciaország, Németország (kizárólag regionális szinten), Svédország, Olaszország és Hollandia. Ezek vagy egyetemesen alkalmazhatók (pl. Ausztria, Finnország, Franciaország </w:t>
      </w:r>
      <w:r w:rsidR="00EC089B">
        <w:rPr>
          <w:lang w:val="hu"/>
        </w:rPr>
        <w:t xml:space="preserve">- </w:t>
      </w:r>
      <w:r>
        <w:rPr>
          <w:lang w:val="hu"/>
        </w:rPr>
        <w:t>Párizson kívül</w:t>
      </w:r>
      <w:r w:rsidR="00EC089B">
        <w:rPr>
          <w:lang w:val="hu"/>
        </w:rPr>
        <w:t xml:space="preserve"> -</w:t>
      </w:r>
      <w:r>
        <w:rPr>
          <w:lang w:val="hu"/>
        </w:rPr>
        <w:t xml:space="preserve"> és Hollandia) vagy kötelező érvénnyel vonatkoznak a szolgáltatók többségére a szociális partnerszervezetek magas lefedettségének köszönhetően (pl. Svédország). Egyes szerződések nemzeti szintűek, megint mások területspecifikus megállapodások. Ilyen például Németország esete, ahol különböző kollektív szerződések vonatkoznak a köz- és magánszféra szolgáltatóira ugyanabban a régióban.  Megjegyzendő az is, hogy Franciaországban, Hollandiában és Németországban a vállalati szintű kollektív szerződések vagy akár a céges gyakorlatok messze meghaladhatják az ágazati szerződésekben lefektetett szociális feltételeket. Németország esetében azzal is számolni kell, hogy az ágazati megállapodások erősen eltérhetnek, pl. a leányvállalatok kedvezőtlenebb foglalkoztatási jogokat és feltételekkel élhetnek. Ausztriában a belső szolgáltatók vagy a köztulajdonban álló cégek magas számban alkalmaznak</w:t>
      </w:r>
      <w:r w:rsidR="007E7C01">
        <w:rPr>
          <w:lang w:val="hu"/>
        </w:rPr>
        <w:t xml:space="preserve"> </w:t>
      </w:r>
      <w:r>
        <w:rPr>
          <w:lang w:val="hu"/>
        </w:rPr>
        <w:t>köz</w:t>
      </w:r>
      <w:r w:rsidR="000E07B2">
        <w:rPr>
          <w:lang w:val="hu"/>
        </w:rPr>
        <w:t>tisztviselő</w:t>
      </w:r>
      <w:r w:rsidR="007E7C01">
        <w:rPr>
          <w:lang w:val="hu"/>
        </w:rPr>
        <w:t>i</w:t>
      </w:r>
      <w:r>
        <w:rPr>
          <w:lang w:val="hu"/>
        </w:rPr>
        <w:t xml:space="preserve"> </w:t>
      </w:r>
      <w:r w:rsidR="000E07B2">
        <w:rPr>
          <w:lang w:val="hu"/>
        </w:rPr>
        <w:t>jogállású</w:t>
      </w:r>
      <w:r>
        <w:rPr>
          <w:lang w:val="hu"/>
        </w:rPr>
        <w:t xml:space="preserve"> munkavállalókat a különböző ágazatspecifikus kollektív szerződést követve csakúgy, mint más dolgozókat a városi tömegközlekedési ágazatban. </w:t>
      </w:r>
    </w:p>
    <w:p w:rsidR="00ED1ED5" w:rsidRPr="00867C47" w:rsidRDefault="00ED1ED5" w:rsidP="00ED1ED5">
      <w:pPr>
        <w:pStyle w:val="Textkrper"/>
        <w:ind w:left="0"/>
        <w:jc w:val="both"/>
        <w:rPr>
          <w:lang w:val="hu"/>
        </w:rPr>
      </w:pPr>
      <w:r>
        <w:rPr>
          <w:lang w:val="hu"/>
        </w:rPr>
        <w:t>Belgiumban ágazati kollektív szerződések léteznek ugyan, de a gyakorlatban, de facto, minden egyes belső szolgáltató esetében a vállalati szintű megállapodások érvényesülnek (mindhárom régióban).</w:t>
      </w:r>
    </w:p>
    <w:p w:rsidR="00ED1ED5" w:rsidRPr="00867C47" w:rsidRDefault="00ED1ED5" w:rsidP="00ED1ED5">
      <w:pPr>
        <w:pStyle w:val="Textkrper"/>
        <w:ind w:left="0"/>
        <w:jc w:val="both"/>
        <w:rPr>
          <w:lang w:val="hu"/>
        </w:rPr>
      </w:pPr>
      <w:r>
        <w:rPr>
          <w:lang w:val="hu"/>
        </w:rPr>
        <w:t xml:space="preserve">A Cseh Köztársaságban és Bulgáriában </w:t>
      </w:r>
      <w:r w:rsidR="0037767F">
        <w:rPr>
          <w:lang w:val="hu"/>
        </w:rPr>
        <w:t>lé</w:t>
      </w:r>
      <w:r w:rsidR="007E7C01">
        <w:rPr>
          <w:lang w:val="hu"/>
        </w:rPr>
        <w:t>t</w:t>
      </w:r>
      <w:r w:rsidR="0037767F">
        <w:rPr>
          <w:lang w:val="hu"/>
        </w:rPr>
        <w:t>e</w:t>
      </w:r>
      <w:r w:rsidR="007E7C01">
        <w:rPr>
          <w:lang w:val="hu"/>
        </w:rPr>
        <w:t>z</w:t>
      </w:r>
      <w:r w:rsidR="0037767F">
        <w:rPr>
          <w:lang w:val="hu"/>
        </w:rPr>
        <w:t>nek</w:t>
      </w:r>
      <w:r>
        <w:rPr>
          <w:lang w:val="hu"/>
        </w:rPr>
        <w:t xml:space="preserve"> ágazati szintű megállapodások</w:t>
      </w:r>
      <w:r w:rsidR="0037767F">
        <w:rPr>
          <w:lang w:val="hu"/>
        </w:rPr>
        <w:t>, de</w:t>
      </w:r>
      <w:r>
        <w:rPr>
          <w:lang w:val="hu"/>
        </w:rPr>
        <w:t xml:space="preserve"> csupán általános keretet </w:t>
      </w:r>
      <w:r w:rsidR="00BA3EE4">
        <w:rPr>
          <w:lang w:val="hu"/>
        </w:rPr>
        <w:t>biztosítanak</w:t>
      </w:r>
      <w:r>
        <w:rPr>
          <w:lang w:val="hu"/>
        </w:rPr>
        <w:t xml:space="preserve"> a vállalati szintű tárgyalásokhoz. Vagyis Bulgáriában, a Cseh Köztársaságban, Írországban és az Egyesült Királyságban a szociális feltételek meghatározásán</w:t>
      </w:r>
      <w:r w:rsidR="0037767F">
        <w:rPr>
          <w:lang w:val="hu"/>
        </w:rPr>
        <w:t>ál</w:t>
      </w:r>
      <w:r>
        <w:rPr>
          <w:lang w:val="hu"/>
        </w:rPr>
        <w:t xml:space="preserve"> </w:t>
      </w:r>
      <w:r w:rsidR="00FF1661">
        <w:rPr>
          <w:lang w:val="hu"/>
        </w:rPr>
        <w:t xml:space="preserve">a </w:t>
      </w:r>
      <w:r>
        <w:rPr>
          <w:lang w:val="hu"/>
        </w:rPr>
        <w:t>leg</w:t>
      </w:r>
      <w:r w:rsidR="0037767F">
        <w:rPr>
          <w:lang w:val="hu"/>
        </w:rPr>
        <w:t xml:space="preserve">fontosabb szerepet </w:t>
      </w:r>
      <w:r>
        <w:rPr>
          <w:lang w:val="hu"/>
        </w:rPr>
        <w:t>a vállalati szint</w:t>
      </w:r>
      <w:r w:rsidR="0037767F">
        <w:rPr>
          <w:lang w:val="hu"/>
        </w:rPr>
        <w:t xml:space="preserve"> játssza</w:t>
      </w:r>
      <w:r>
        <w:rPr>
          <w:lang w:val="hu"/>
        </w:rPr>
        <w:t xml:space="preserve">.  </w:t>
      </w:r>
    </w:p>
    <w:p w:rsidR="00ED1ED5" w:rsidRPr="00867C47" w:rsidRDefault="00ED1ED5" w:rsidP="00ED1ED5">
      <w:pPr>
        <w:pStyle w:val="berschrift3"/>
        <w:numPr>
          <w:ilvl w:val="0"/>
          <w:numId w:val="37"/>
        </w:numPr>
        <w:jc w:val="both"/>
        <w:rPr>
          <w:lang w:val="hu"/>
        </w:rPr>
      </w:pPr>
      <w:r>
        <w:rPr>
          <w:lang w:val="hu"/>
        </w:rPr>
        <w:t>A szociális feltételek fejlődési irányvonalai a városi tömegközlekedés ágazatában</w:t>
      </w:r>
    </w:p>
    <w:p w:rsidR="00ED1ED5" w:rsidRPr="00867C47" w:rsidRDefault="00ED1ED5" w:rsidP="00461953">
      <w:pPr>
        <w:pStyle w:val="Textkrper"/>
        <w:ind w:left="0"/>
        <w:jc w:val="both"/>
        <w:rPr>
          <w:lang w:val="hu"/>
        </w:rPr>
      </w:pPr>
      <w:r>
        <w:rPr>
          <w:lang w:val="hu"/>
        </w:rPr>
        <w:t>Első ránézésre nem észlelhető közvetlen kapcsolat a szociális feltételek fejlődése és az odaítélési eljárások típusa között. Ugyanakkor a versenytárgyalási eljárásokban nagyobb tapasztalattal rendelkező országok, mint Finnország és Hollandia, sokkal kedvezőbb béremeléseket tapasztalhattak, mint például Belgium vagy Olaszország</w:t>
      </w:r>
      <w:r>
        <w:rPr>
          <w:rStyle w:val="Kommentarzeichen"/>
          <w:b/>
          <w:bCs/>
          <w:lang w:val="hu"/>
        </w:rPr>
        <w:t>.</w:t>
      </w:r>
      <w:r>
        <w:rPr>
          <w:lang w:val="hu"/>
        </w:rPr>
        <w:t xml:space="preserve"> Ugyanakkor az is megjegyzendő, hogy a versenytárgyalási eljárást gyakorló országok rendelkeznek úgy kötelező érvényű ágazati szintű kollektív szerződéssel, mint kötelező érvényű rendelkezésekkel személyzet átvétele esetén (Hollandia, Franciaország, Finnország kollektív szerződés rendelkezésein keresztül). Másrészt az is feljegyzendő, hogy az elemzésre került vállalati esetek többségében az odaítélési eljárástól függetlenül nőtt a munkateher és a </w:t>
      </w:r>
      <w:r w:rsidR="00832852">
        <w:rPr>
          <w:lang w:val="hu"/>
        </w:rPr>
        <w:t>munkahely bizonytalansága,</w:t>
      </w:r>
      <w:r>
        <w:rPr>
          <w:lang w:val="hu"/>
        </w:rPr>
        <w:t xml:space="preserve"> </w:t>
      </w:r>
      <w:r w:rsidR="00216F0E">
        <w:rPr>
          <w:lang w:val="hu"/>
        </w:rPr>
        <w:t xml:space="preserve">csökkentve </w:t>
      </w:r>
      <w:r>
        <w:rPr>
          <w:lang w:val="hu"/>
        </w:rPr>
        <w:t xml:space="preserve">ezáltal az ágazat vonzerejét.  </w:t>
      </w:r>
    </w:p>
    <w:p w:rsidR="00ED1ED5" w:rsidRPr="00867C47" w:rsidRDefault="00ED1ED5" w:rsidP="00461953">
      <w:pPr>
        <w:pStyle w:val="Textkrper"/>
        <w:ind w:left="0"/>
        <w:jc w:val="both"/>
        <w:rPr>
          <w:lang w:val="hu"/>
        </w:rPr>
      </w:pPr>
      <w:r>
        <w:rPr>
          <w:lang w:val="hu"/>
        </w:rPr>
        <w:t xml:space="preserve">Ugyanakkor azt a tényt, hogy közvetlen kapcsolat nem volt fellelhető, </w:t>
      </w:r>
      <w:r w:rsidR="00BE5DC7">
        <w:rPr>
          <w:lang w:val="hu"/>
        </w:rPr>
        <w:t xml:space="preserve">alaposabban elemezni kell, </w:t>
      </w:r>
      <w:r>
        <w:rPr>
          <w:lang w:val="hu"/>
        </w:rPr>
        <w:t>mivel más</w:t>
      </w:r>
      <w:r w:rsidR="00BE5DC7">
        <w:rPr>
          <w:lang w:val="hu"/>
        </w:rPr>
        <w:t xml:space="preserve"> </w:t>
      </w:r>
      <w:r>
        <w:rPr>
          <w:lang w:val="hu"/>
        </w:rPr>
        <w:t xml:space="preserve">országokban lehet, hogy </w:t>
      </w:r>
      <w:r w:rsidR="00BE5DC7">
        <w:rPr>
          <w:lang w:val="hu"/>
        </w:rPr>
        <w:t xml:space="preserve">szerkezetátalakításra </w:t>
      </w:r>
      <w:r>
        <w:rPr>
          <w:lang w:val="hu"/>
        </w:rPr>
        <w:t xml:space="preserve">került </w:t>
      </w:r>
      <w:r w:rsidR="00BE5DC7">
        <w:rPr>
          <w:lang w:val="hu"/>
        </w:rPr>
        <w:t xml:space="preserve">sor </w:t>
      </w:r>
      <w:r>
        <w:rPr>
          <w:lang w:val="hu"/>
        </w:rPr>
        <w:t xml:space="preserve">az elemzés ideje alatt </w:t>
      </w:r>
      <w:r w:rsidR="00BE5DC7">
        <w:rPr>
          <w:lang w:val="hu"/>
        </w:rPr>
        <w:t xml:space="preserve">vagy azt megelőzően, ami </w:t>
      </w:r>
      <w:r>
        <w:rPr>
          <w:lang w:val="hu"/>
        </w:rPr>
        <w:t>kihatott a bérek alakulására. Ezen</w:t>
      </w:r>
      <w:r w:rsidR="00BE5DC7">
        <w:rPr>
          <w:lang w:val="hu"/>
        </w:rPr>
        <w:t>kívül</w:t>
      </w:r>
      <w:r>
        <w:rPr>
          <w:lang w:val="hu"/>
        </w:rPr>
        <w:t>, a közfinanszírozás megszorításának hatása is jelentős szerepet játszhatott egyes országokban</w:t>
      </w:r>
      <w:r w:rsidR="00BE5DC7">
        <w:rPr>
          <w:lang w:val="hu"/>
        </w:rPr>
        <w:t>, ami befolyásolta</w:t>
      </w:r>
      <w:r>
        <w:rPr>
          <w:lang w:val="hu"/>
        </w:rPr>
        <w:t xml:space="preserve"> a bérek alakulását. </w:t>
      </w:r>
    </w:p>
    <w:p w:rsidR="00ED1ED5" w:rsidRPr="00867C47" w:rsidRDefault="00ED1ED5" w:rsidP="00461953">
      <w:pPr>
        <w:pStyle w:val="Textkrper"/>
        <w:ind w:left="0"/>
        <w:jc w:val="both"/>
        <w:rPr>
          <w:lang w:val="hu"/>
        </w:rPr>
      </w:pPr>
      <w:r>
        <w:rPr>
          <w:lang w:val="hu"/>
        </w:rPr>
        <w:t>Továbbá a versenytárgyalási eljárásra jobban támaszkodó országok dolgozóinak napi rutinja és munkaidő</w:t>
      </w:r>
      <w:r w:rsidR="00BE5DC7">
        <w:rPr>
          <w:lang w:val="hu"/>
        </w:rPr>
        <w:t>-</w:t>
      </w:r>
      <w:r>
        <w:rPr>
          <w:lang w:val="hu"/>
        </w:rPr>
        <w:t>beosztása egyre inkább kényszerült igazodni a rugalmas munkaidőhöz</w:t>
      </w:r>
      <w:r w:rsidR="00BE5DC7">
        <w:rPr>
          <w:lang w:val="hu"/>
        </w:rPr>
        <w:t>,</w:t>
      </w:r>
      <w:r>
        <w:rPr>
          <w:lang w:val="hu"/>
        </w:rPr>
        <w:t xml:space="preserve"> növelve ezáltal a hálózati hatékonyságot, például az autóbusz-szolgáltatások esetében, leröv</w:t>
      </w:r>
      <w:r w:rsidR="00BE5DC7">
        <w:rPr>
          <w:lang w:val="hu"/>
        </w:rPr>
        <w:t>i</w:t>
      </w:r>
      <w:r>
        <w:rPr>
          <w:lang w:val="hu"/>
        </w:rPr>
        <w:t>dítve a megfordulási időt a végállomásokon</w:t>
      </w:r>
      <w:r w:rsidR="00FF1661">
        <w:rPr>
          <w:lang w:val="hu"/>
        </w:rPr>
        <w:t xml:space="preserve"> és</w:t>
      </w:r>
      <w:r>
        <w:rPr>
          <w:lang w:val="hu"/>
        </w:rPr>
        <w:t xml:space="preserve"> a szüneteket, kitolva a vezetési időt</w:t>
      </w:r>
      <w:r w:rsidR="000B54A9">
        <w:rPr>
          <w:lang w:val="hu"/>
        </w:rPr>
        <w:t>, továbbá</w:t>
      </w:r>
      <w:r>
        <w:rPr>
          <w:lang w:val="hu"/>
        </w:rPr>
        <w:t xml:space="preserve"> a műszak eleji és végi műszakátadási felkészülési idő</w:t>
      </w:r>
      <w:r w:rsidR="00767D46">
        <w:rPr>
          <w:lang w:val="hu"/>
        </w:rPr>
        <w:t xml:space="preserve"> már nem számít bele a hatékony</w:t>
      </w:r>
      <w:r>
        <w:rPr>
          <w:lang w:val="hu"/>
        </w:rPr>
        <w:t xml:space="preserve"> munkaidő</w:t>
      </w:r>
      <w:r w:rsidR="00767D46">
        <w:rPr>
          <w:lang w:val="hu"/>
        </w:rPr>
        <w:t>be</w:t>
      </w:r>
      <w:r>
        <w:rPr>
          <w:lang w:val="hu"/>
        </w:rPr>
        <w:t xml:space="preserve">. </w:t>
      </w:r>
    </w:p>
    <w:p w:rsidR="00ED1ED5" w:rsidRPr="00867C47" w:rsidRDefault="00ED1ED5" w:rsidP="00461953">
      <w:pPr>
        <w:pStyle w:val="Textkrper"/>
        <w:ind w:left="0"/>
        <w:jc w:val="both"/>
        <w:rPr>
          <w:lang w:val="hu"/>
        </w:rPr>
      </w:pPr>
      <w:r>
        <w:rPr>
          <w:lang w:val="hu"/>
        </w:rPr>
        <w:t>Ugyanakkor ez</w:t>
      </w:r>
      <w:r w:rsidR="00767D46">
        <w:rPr>
          <w:lang w:val="hu"/>
        </w:rPr>
        <w:t>eket</w:t>
      </w:r>
      <w:r>
        <w:rPr>
          <w:lang w:val="hu"/>
        </w:rPr>
        <w:t xml:space="preserve"> a tendenciá</w:t>
      </w:r>
      <w:r w:rsidR="00767D46">
        <w:rPr>
          <w:lang w:val="hu"/>
        </w:rPr>
        <w:t>ka</w:t>
      </w:r>
      <w:r>
        <w:rPr>
          <w:lang w:val="hu"/>
        </w:rPr>
        <w:t xml:space="preserve">t ugyanúgy észlelték a belső szolgáltatókról szóló céges tanulmányok. Németországban például úgy vélik, hogy a városi tömegközlekedési szolgáltatások felkészítése a 2000-es évek elején megvalósuló versenyeztetésre valószínűleg nagyban hozzájárult ehhez az irányvonalhoz. Ugyanakkor a hatékonyságra és a közpénzek megtakarítására fektetett hangsúly minden országban szintén fontos szerepet játszott ebben. </w:t>
      </w:r>
    </w:p>
    <w:p w:rsidR="00ED1ED5" w:rsidRPr="00867C47" w:rsidRDefault="00ED1ED5" w:rsidP="00461953">
      <w:pPr>
        <w:pStyle w:val="Textkrper"/>
        <w:ind w:left="0"/>
        <w:jc w:val="both"/>
        <w:rPr>
          <w:lang w:val="hu"/>
        </w:rPr>
      </w:pPr>
      <w:r>
        <w:rPr>
          <w:lang w:val="hu"/>
        </w:rPr>
        <w:t>A heti munkaórák számának tekintetében a legtöbb országban nem változott az előírás. A túlórázást pénzügyi meg</w:t>
      </w:r>
      <w:r w:rsidR="000B54A9">
        <w:rPr>
          <w:lang w:val="hu"/>
        </w:rPr>
        <w:t>fontolások</w:t>
      </w:r>
      <w:r>
        <w:rPr>
          <w:lang w:val="hu"/>
        </w:rPr>
        <w:t>ból szintén lecsökkentették a legtöbb helyen</w:t>
      </w:r>
      <w:r>
        <w:rPr>
          <w:rStyle w:val="Kommentarzeichen"/>
          <w:lang w:val="hu"/>
        </w:rPr>
        <w:t xml:space="preserve">. </w:t>
      </w:r>
      <w:r>
        <w:rPr>
          <w:lang w:val="hu"/>
        </w:rPr>
        <w:t>Egyes esetekben elhangzott az interjúk során, hogy a túlóra azért csökkent, mert kölcsönzött munkaerő váltotta fel</w:t>
      </w:r>
      <w:r w:rsidR="00767D46">
        <w:rPr>
          <w:lang w:val="hu"/>
        </w:rPr>
        <w:t>,</w:t>
      </w:r>
      <w:r>
        <w:rPr>
          <w:lang w:val="hu"/>
        </w:rPr>
        <w:t xml:space="preserve"> vagy alvállalkozókhoz</w:t>
      </w:r>
      <w:r w:rsidR="007E7C01">
        <w:rPr>
          <w:lang w:val="hu"/>
        </w:rPr>
        <w:t xml:space="preserve"> </w:t>
      </w:r>
      <w:r>
        <w:rPr>
          <w:lang w:val="hu"/>
        </w:rPr>
        <w:t xml:space="preserve">vagy kiszervezésre került a munka (pl. a gördülőállomány kezelése vagy a karbantartás) ezáltal is csökkentve a költségeket.  </w:t>
      </w:r>
    </w:p>
    <w:p w:rsidR="00ED1ED5" w:rsidRPr="00867C47" w:rsidRDefault="00ED1ED5" w:rsidP="00461953">
      <w:pPr>
        <w:pStyle w:val="Textkrper"/>
        <w:ind w:left="0"/>
        <w:jc w:val="both"/>
        <w:rPr>
          <w:lang w:val="hu"/>
        </w:rPr>
      </w:pPr>
      <w:r>
        <w:rPr>
          <w:lang w:val="hu"/>
        </w:rPr>
        <w:t xml:space="preserve">Az Egyesült Királyság mintha kilógna </w:t>
      </w:r>
      <w:r w:rsidR="00216F0E">
        <w:rPr>
          <w:lang w:val="hu"/>
        </w:rPr>
        <w:t xml:space="preserve">a </w:t>
      </w:r>
      <w:r>
        <w:rPr>
          <w:lang w:val="hu"/>
        </w:rPr>
        <w:t>sorból. Azzal, hogy a szolgáltatások</w:t>
      </w:r>
      <w:r w:rsidR="00CB3BB9">
        <w:rPr>
          <w:lang w:val="hu"/>
        </w:rPr>
        <w:t>at</w:t>
      </w:r>
      <w:r>
        <w:rPr>
          <w:lang w:val="hu"/>
        </w:rPr>
        <w:t xml:space="preserve"> </w:t>
      </w:r>
      <w:r w:rsidR="00CB3BB9">
        <w:rPr>
          <w:lang w:val="hu"/>
        </w:rPr>
        <w:t xml:space="preserve">piaci alapon nyújtják, </w:t>
      </w:r>
      <w:r>
        <w:rPr>
          <w:lang w:val="hu"/>
        </w:rPr>
        <w:t xml:space="preserve">és az illetékes hatóságok </w:t>
      </w:r>
      <w:r w:rsidR="00CB3BB9">
        <w:rPr>
          <w:lang w:val="hu"/>
        </w:rPr>
        <w:t>nem írnak elő</w:t>
      </w:r>
      <w:r>
        <w:rPr>
          <w:lang w:val="hu"/>
        </w:rPr>
        <w:t xml:space="preserve">  specifikus előírásokat vagy ellentételezést, a cégek a leghatékonyabb gazdasági szinten működnek. Az ágazatra hosszú munkanapok és  alacsony bérek jellemzőek (épphogy a minimálbér felett). Az, hogy nincs ágazati szintű megállapodás felettébb változatos és vállalati szintű (termelési egységenként) specifikus helyzeteket teremt a szociális feltételek tekintetében. </w:t>
      </w:r>
    </w:p>
    <w:p w:rsidR="00ED1ED5" w:rsidRPr="00867C47" w:rsidRDefault="000B54A9" w:rsidP="00461953">
      <w:pPr>
        <w:pStyle w:val="Textkrper"/>
        <w:ind w:left="0"/>
        <w:jc w:val="both"/>
        <w:rPr>
          <w:lang w:val="hu"/>
        </w:rPr>
      </w:pPr>
      <w:r>
        <w:rPr>
          <w:lang w:val="hu"/>
        </w:rPr>
        <w:t>Bár</w:t>
      </w:r>
      <w:r w:rsidR="00ED1ED5">
        <w:rPr>
          <w:lang w:val="hu"/>
        </w:rPr>
        <w:t xml:space="preserve"> az ágazati értékelés a </w:t>
      </w:r>
      <w:r w:rsidR="00457FBA">
        <w:rPr>
          <w:lang w:val="hu"/>
        </w:rPr>
        <w:t>közép-kelet-európai</w:t>
      </w:r>
      <w:r w:rsidR="00ED1ED5">
        <w:rPr>
          <w:lang w:val="hu"/>
        </w:rPr>
        <w:t xml:space="preserve"> országokban adatok hiányában nehézkes, megfigyelhető, hogy a belső szolgáltatók körében, különösképp a fővárosokban, a foglalkoztatási feltételek jobbnak tűnnek, mint az ország többi szolgáltatójánál.  </w:t>
      </w:r>
    </w:p>
    <w:p w:rsidR="00ED1ED5" w:rsidRPr="00867C47" w:rsidRDefault="00ED1ED5" w:rsidP="00461953">
      <w:pPr>
        <w:pStyle w:val="Textkrper"/>
        <w:ind w:left="0"/>
        <w:jc w:val="both"/>
        <w:rPr>
          <w:lang w:val="hu"/>
        </w:rPr>
      </w:pPr>
      <w:r>
        <w:rPr>
          <w:lang w:val="hu"/>
        </w:rPr>
        <w:t>Míg a bérek jelentősen emelkedtek a</w:t>
      </w:r>
      <w:r w:rsidR="00457FBA">
        <w:rPr>
          <w:lang w:val="hu"/>
        </w:rPr>
        <w:t xml:space="preserve"> közép-kelet-európai</w:t>
      </w:r>
      <w:r>
        <w:rPr>
          <w:lang w:val="hu"/>
        </w:rPr>
        <w:t xml:space="preserve"> országokban, </w:t>
      </w:r>
      <w:r w:rsidR="00457FBA">
        <w:rPr>
          <w:lang w:val="hu"/>
        </w:rPr>
        <w:t xml:space="preserve">ez elsősorban </w:t>
      </w:r>
      <w:r>
        <w:rPr>
          <w:lang w:val="hu"/>
        </w:rPr>
        <w:t>az infláció és az életszínvonal költségeinek emelkedésé</w:t>
      </w:r>
      <w:r w:rsidR="00457FBA">
        <w:rPr>
          <w:lang w:val="hu"/>
        </w:rPr>
        <w:t>nek hatására</w:t>
      </w:r>
      <w:r w:rsidR="00457FBA" w:rsidDel="00457FBA">
        <w:rPr>
          <w:lang w:val="hu"/>
        </w:rPr>
        <w:t xml:space="preserve"> </w:t>
      </w:r>
      <w:r w:rsidR="00457FBA">
        <w:rPr>
          <w:lang w:val="hu"/>
        </w:rPr>
        <w:t>történt, és</w:t>
      </w:r>
      <w:r>
        <w:rPr>
          <w:lang w:val="hu"/>
        </w:rPr>
        <w:t xml:space="preserve"> előreláthatólag a bérek szintje stabil marad. Az ágazati szintű megállapodás nem </w:t>
      </w:r>
      <w:r w:rsidR="00AA618C">
        <w:rPr>
          <w:lang w:val="hu"/>
        </w:rPr>
        <w:t>kötelező</w:t>
      </w:r>
      <w:r>
        <w:rPr>
          <w:lang w:val="hu"/>
        </w:rPr>
        <w:t xml:space="preserve"> érvényű, </w:t>
      </w:r>
      <w:r w:rsidR="00083806">
        <w:rPr>
          <w:lang w:val="hu"/>
        </w:rPr>
        <w:t xml:space="preserve">de </w:t>
      </w:r>
      <w:r>
        <w:rPr>
          <w:lang w:val="hu"/>
        </w:rPr>
        <w:t xml:space="preserve">a vállalati szintű tárgyalásokra közvetlen hatást gyakorolnak az ágazati szintű előírások. </w:t>
      </w:r>
    </w:p>
    <w:p w:rsidR="00ED1ED5" w:rsidRPr="00867C47" w:rsidRDefault="00ED1ED5" w:rsidP="00461953">
      <w:pPr>
        <w:pStyle w:val="Textkrper"/>
        <w:ind w:left="0"/>
        <w:jc w:val="both"/>
        <w:rPr>
          <w:lang w:val="hu"/>
        </w:rPr>
      </w:pPr>
      <w:r>
        <w:rPr>
          <w:lang w:val="hu"/>
        </w:rPr>
        <w:t xml:space="preserve">Másrészt </w:t>
      </w:r>
      <w:r w:rsidR="009F0CDB">
        <w:rPr>
          <w:lang w:val="hu"/>
        </w:rPr>
        <w:t>a trendekből az látszik</w:t>
      </w:r>
      <w:r>
        <w:rPr>
          <w:lang w:val="hu"/>
        </w:rPr>
        <w:t xml:space="preserve">, hogy a képzés szintje nem sokkal marad el a törvényes előírásoktól. Ez a tendencia  </w:t>
      </w:r>
      <w:r w:rsidR="009F0CDB">
        <w:rPr>
          <w:lang w:val="hu"/>
        </w:rPr>
        <w:t>kissé</w:t>
      </w:r>
      <w:r>
        <w:rPr>
          <w:lang w:val="hu"/>
        </w:rPr>
        <w:t xml:space="preserve"> változ</w:t>
      </w:r>
      <w:r w:rsidR="009F0CDB">
        <w:rPr>
          <w:lang w:val="hu"/>
        </w:rPr>
        <w:t>hat</w:t>
      </w:r>
      <w:r>
        <w:rPr>
          <w:lang w:val="hu"/>
        </w:rPr>
        <w:t xml:space="preserve">ott az utóbbi időben, mivel az illetékes hatóságok sokkal nagyobb minőségi teljesítmény feltételrendszert követelnek meg a magán-, </w:t>
      </w:r>
      <w:r w:rsidR="00CD57B7">
        <w:rPr>
          <w:lang w:val="hu"/>
        </w:rPr>
        <w:t>illetve</w:t>
      </w:r>
      <w:r>
        <w:rPr>
          <w:lang w:val="hu"/>
        </w:rPr>
        <w:t xml:space="preserve"> a belső szolgáltatókkal kötendő szerződésekben.</w:t>
      </w:r>
      <w:r w:rsidR="00F15966">
        <w:rPr>
          <w:lang w:val="hu"/>
        </w:rPr>
        <w:t xml:space="preserve"> </w:t>
      </w:r>
      <w:r>
        <w:rPr>
          <w:lang w:val="hu"/>
        </w:rPr>
        <w:t xml:space="preserve">Ez a képzési </w:t>
      </w:r>
      <w:r w:rsidR="00CD57B7">
        <w:rPr>
          <w:lang w:val="hu"/>
        </w:rPr>
        <w:t>kínálat</w:t>
      </w:r>
      <w:r>
        <w:rPr>
          <w:lang w:val="hu"/>
        </w:rPr>
        <w:t xml:space="preserve"> javulásához vezet</w:t>
      </w:r>
      <w:r w:rsidR="00CD57B7">
        <w:rPr>
          <w:lang w:val="hu"/>
        </w:rPr>
        <w:t>,</w:t>
      </w:r>
      <w:r>
        <w:rPr>
          <w:lang w:val="hu"/>
        </w:rPr>
        <w:t xml:space="preserve"> különösképp az ügyfélfogadás és szolgáltatás terén. </w:t>
      </w:r>
    </w:p>
    <w:p w:rsidR="00ED1ED5" w:rsidRPr="00867C47" w:rsidRDefault="00ED1ED5" w:rsidP="00461953">
      <w:pPr>
        <w:pStyle w:val="Textkrper"/>
        <w:ind w:left="0"/>
        <w:jc w:val="both"/>
        <w:rPr>
          <w:lang w:val="hu"/>
        </w:rPr>
      </w:pPr>
      <w:r>
        <w:rPr>
          <w:lang w:val="hu"/>
        </w:rPr>
        <w:t xml:space="preserve">Egyes vállalatoknál </w:t>
      </w:r>
      <w:r w:rsidR="005A5E6E">
        <w:rPr>
          <w:lang w:val="hu"/>
        </w:rPr>
        <w:t xml:space="preserve">megfigyelhető </w:t>
      </w:r>
      <w:r>
        <w:rPr>
          <w:lang w:val="hu"/>
        </w:rPr>
        <w:t>volt az elmúlt években, hogy a szakmai és a magánélet egyensúly</w:t>
      </w:r>
      <w:r w:rsidR="005A5E6E">
        <w:rPr>
          <w:lang w:val="hu"/>
        </w:rPr>
        <w:t xml:space="preserve">ára törekvő irányelveket dolgoztak ki, </w:t>
      </w:r>
      <w:r>
        <w:rPr>
          <w:lang w:val="hu"/>
        </w:rPr>
        <w:t>a személyzet kéréseivel és követeléseivel összhangban.</w:t>
      </w:r>
    </w:p>
    <w:p w:rsidR="00ED1ED5" w:rsidRDefault="00ED1ED5" w:rsidP="00461953">
      <w:pPr>
        <w:pStyle w:val="berschrift3"/>
        <w:numPr>
          <w:ilvl w:val="0"/>
          <w:numId w:val="37"/>
        </w:numPr>
        <w:jc w:val="both"/>
      </w:pPr>
      <w:r>
        <w:rPr>
          <w:lang w:val="hu"/>
        </w:rPr>
        <w:t>A szociális feltételek gyakorlata a versenyeztetésben</w:t>
      </w:r>
    </w:p>
    <w:p w:rsidR="00ED1ED5" w:rsidRPr="00867C47" w:rsidRDefault="00ED1ED5" w:rsidP="00461953">
      <w:pPr>
        <w:pStyle w:val="Textkrper"/>
        <w:ind w:left="0"/>
        <w:jc w:val="both"/>
        <w:rPr>
          <w:lang w:val="hu"/>
        </w:rPr>
      </w:pPr>
      <w:r>
        <w:rPr>
          <w:lang w:val="hu"/>
        </w:rPr>
        <w:t>Az európai jog sérelme nélkül, beleértve a szociális partnerek közötti kollektív szerződéseket és a fentiekben említettek alapján, a közszolgáltatási kötelezettségekről szóló rendelet 4(5)</w:t>
      </w:r>
      <w:r w:rsidR="001F594E">
        <w:rPr>
          <w:lang w:val="hu"/>
        </w:rPr>
        <w:t>.</w:t>
      </w:r>
      <w:r>
        <w:rPr>
          <w:lang w:val="hu"/>
        </w:rPr>
        <w:t xml:space="preserve"> és a 4(6)</w:t>
      </w:r>
      <w:r w:rsidR="001F594E">
        <w:rPr>
          <w:lang w:val="hu"/>
        </w:rPr>
        <w:t>.</w:t>
      </w:r>
      <w:r>
        <w:rPr>
          <w:lang w:val="hu"/>
        </w:rPr>
        <w:t xml:space="preserve"> cikke lehetővé teszi az illetékes hatóságok számára, (de nem kötelezi azokat), hogy megköveteljék a közszolgáltatási szolgáltatóktól a minimális szociális feltételeknek és a szolgáltatás minőségi kritériumainak való megfelelést</w:t>
      </w:r>
      <w:r w:rsidR="001F594E">
        <w:rPr>
          <w:lang w:val="hu"/>
        </w:rPr>
        <w:t>,</w:t>
      </w:r>
      <w:r>
        <w:rPr>
          <w:lang w:val="hu"/>
        </w:rPr>
        <w:t xml:space="preserve"> vagy a személyzet át</w:t>
      </w:r>
      <w:r w:rsidR="00D33C3A">
        <w:rPr>
          <w:lang w:val="hu"/>
        </w:rPr>
        <w:t>helyezés</w:t>
      </w:r>
      <w:r w:rsidR="00E1074B">
        <w:rPr>
          <w:lang w:val="hu"/>
        </w:rPr>
        <w:t>ét</w:t>
      </w:r>
      <w:r>
        <w:rPr>
          <w:lang w:val="hu"/>
        </w:rPr>
        <w:t xml:space="preserve"> az új üzemeltető</w:t>
      </w:r>
      <w:r w:rsidR="00D33C3A">
        <w:rPr>
          <w:lang w:val="hu"/>
        </w:rPr>
        <w:t>höz</w:t>
      </w:r>
      <w:r>
        <w:rPr>
          <w:lang w:val="hu"/>
        </w:rPr>
        <w:t xml:space="preserve"> a 2001/23/EK irányelv értelmében</w:t>
      </w:r>
      <w:r w:rsidR="006B50DF">
        <w:rPr>
          <w:lang w:val="hu"/>
        </w:rPr>
        <w:t>,</w:t>
      </w:r>
      <w:r>
        <w:rPr>
          <w:lang w:val="hu"/>
        </w:rPr>
        <w:t xml:space="preserve"> még akkor is, ha az irányelv feltételei nem teljesülnek. Ez a pont azt kutatja</w:t>
      </w:r>
      <w:r w:rsidR="00D33C3A">
        <w:rPr>
          <w:lang w:val="hu"/>
        </w:rPr>
        <w:t>,</w:t>
      </w:r>
      <w:r>
        <w:rPr>
          <w:lang w:val="hu"/>
        </w:rPr>
        <w:t xml:space="preserve"> milyen gyakorlatok tették lehetővé a szociális feltételek megfogalmazását a közbeszerzések során, míg a következő pont a személyzet áthelyezéséről szóló rendelkezéseket értékeli ki. </w:t>
      </w:r>
    </w:p>
    <w:p w:rsidR="00ED1ED5" w:rsidRPr="00867C47" w:rsidRDefault="00ED1ED5" w:rsidP="00461953">
      <w:pPr>
        <w:pStyle w:val="Textkrper"/>
        <w:ind w:left="0"/>
        <w:jc w:val="both"/>
        <w:rPr>
          <w:lang w:val="hu"/>
        </w:rPr>
      </w:pPr>
      <w:r>
        <w:rPr>
          <w:lang w:val="hu"/>
        </w:rPr>
        <w:t xml:space="preserve">A szociális feltételek gyakorlatának elemzésekor fontos észben tartani a nemzeti jogszabályok és a kollektív tárgyalások </w:t>
      </w:r>
      <w:r w:rsidR="009F7787">
        <w:rPr>
          <w:lang w:val="hu"/>
        </w:rPr>
        <w:t>által meghatározott feltételeket</w:t>
      </w:r>
      <w:r>
        <w:rPr>
          <w:lang w:val="hu"/>
        </w:rPr>
        <w:t>.</w:t>
      </w:r>
      <w:r w:rsidR="00F15966">
        <w:rPr>
          <w:lang w:val="hu"/>
        </w:rPr>
        <w:t xml:space="preserve"> </w:t>
      </w:r>
      <w:r>
        <w:rPr>
          <w:lang w:val="hu"/>
        </w:rPr>
        <w:t>Míg a nemzeti jogszabályokat minden ajánlattevőnek be kell tartania, az ilyen szintű</w:t>
      </w:r>
      <w:r w:rsidR="009F7787">
        <w:rPr>
          <w:lang w:val="hu"/>
        </w:rPr>
        <w:t>,</w:t>
      </w:r>
      <w:r>
        <w:rPr>
          <w:lang w:val="hu"/>
        </w:rPr>
        <w:t xml:space="preserve"> </w:t>
      </w:r>
      <w:r w:rsidR="009F7787">
        <w:rPr>
          <w:lang w:val="hu"/>
        </w:rPr>
        <w:t xml:space="preserve">a </w:t>
      </w:r>
      <w:r>
        <w:rPr>
          <w:lang w:val="hu"/>
        </w:rPr>
        <w:t xml:space="preserve">szociális </w:t>
      </w:r>
      <w:r w:rsidR="009F7787">
        <w:rPr>
          <w:lang w:val="hu"/>
        </w:rPr>
        <w:t xml:space="preserve">feltételekhez kapcsolódó jogi </w:t>
      </w:r>
      <w:r>
        <w:rPr>
          <w:lang w:val="hu"/>
        </w:rPr>
        <w:t>normák minimumkövetelményeket állítanak fel, úgymint a törvényes minimálbér</w:t>
      </w:r>
      <w:r w:rsidR="009F7787">
        <w:rPr>
          <w:lang w:val="hu"/>
        </w:rPr>
        <w:t>, amelyek</w:t>
      </w:r>
      <w:r>
        <w:rPr>
          <w:lang w:val="hu"/>
        </w:rPr>
        <w:t xml:space="preserve"> </w:t>
      </w:r>
      <w:r w:rsidR="009F7787">
        <w:rPr>
          <w:lang w:val="hu"/>
        </w:rPr>
        <w:t>általában</w:t>
      </w:r>
      <w:r>
        <w:rPr>
          <w:lang w:val="hu"/>
        </w:rPr>
        <w:t xml:space="preserve"> nem jelent</w:t>
      </w:r>
      <w:r w:rsidR="00CA70C4">
        <w:rPr>
          <w:lang w:val="hu"/>
        </w:rPr>
        <w:t>ik</w:t>
      </w:r>
      <w:r>
        <w:rPr>
          <w:lang w:val="hu"/>
        </w:rPr>
        <w:t xml:space="preserve"> a munkafeltételek szintjét a városi tömegközlekedés ágazatában</w:t>
      </w:r>
      <w:r w:rsidR="009F7787">
        <w:rPr>
          <w:lang w:val="hu"/>
        </w:rPr>
        <w:t>.</w:t>
      </w:r>
      <w:r>
        <w:rPr>
          <w:lang w:val="hu"/>
        </w:rPr>
        <w:t xml:space="preserve">  </w:t>
      </w:r>
    </w:p>
    <w:p w:rsidR="00ED1ED5" w:rsidRPr="00867C47" w:rsidRDefault="00ED1ED5" w:rsidP="00461953">
      <w:pPr>
        <w:pStyle w:val="Textkrper"/>
        <w:ind w:left="0"/>
        <w:jc w:val="both"/>
        <w:rPr>
          <w:lang w:val="hu"/>
        </w:rPr>
      </w:pPr>
      <w:r>
        <w:rPr>
          <w:lang w:val="hu"/>
        </w:rPr>
        <w:t xml:space="preserve">A kollektív szerződések </w:t>
      </w:r>
      <w:r w:rsidR="00E10A92">
        <w:rPr>
          <w:lang w:val="hu"/>
        </w:rPr>
        <w:t>hatóköre,</w:t>
      </w:r>
      <w:r>
        <w:rPr>
          <w:lang w:val="hu"/>
        </w:rPr>
        <w:t xml:space="preserve"> valamint az a szint, amelyen a kollektív szerződések normái helyezkednek el</w:t>
      </w:r>
      <w:r w:rsidR="00E10A92">
        <w:rPr>
          <w:lang w:val="hu"/>
        </w:rPr>
        <w:t>,</w:t>
      </w:r>
      <w:r>
        <w:rPr>
          <w:lang w:val="hu"/>
        </w:rPr>
        <w:t xml:space="preserve"> szintén fontos szerepet játszik a versenyeztetési eljárásban és az esetleges szolgáltatóváltásban. Azokban az országokban, ahol a kollektív szerződések ágazati szintűek</w:t>
      </w:r>
      <w:r w:rsidR="00E10A92">
        <w:rPr>
          <w:lang w:val="hu"/>
        </w:rPr>
        <w:t>,</w:t>
      </w:r>
      <w:r>
        <w:rPr>
          <w:lang w:val="hu"/>
        </w:rPr>
        <w:t xml:space="preserve"> és az egész ágazatra nézve kötelező érvényűek, a szociális feltételek meghatározása sokkal kevésbé releváns</w:t>
      </w:r>
      <w:r w:rsidR="00E10A92">
        <w:rPr>
          <w:lang w:val="hu"/>
        </w:rPr>
        <w:t>,</w:t>
      </w:r>
      <w:r>
        <w:rPr>
          <w:lang w:val="hu"/>
        </w:rPr>
        <w:t xml:space="preserve"> mint amikor viszonylag magas szinten határozzák meg ezeket a normákat</w:t>
      </w:r>
      <w:r w:rsidR="00E10A92">
        <w:rPr>
          <w:lang w:val="hu"/>
        </w:rPr>
        <w:t>,</w:t>
      </w:r>
      <w:r>
        <w:rPr>
          <w:lang w:val="hu"/>
        </w:rPr>
        <w:t xml:space="preserve"> azért, hogy egyenlő versenyfeltételeket biztosítsanak minden ajánlattevőnek.   </w:t>
      </w:r>
    </w:p>
    <w:p w:rsidR="00ED1ED5" w:rsidRPr="00867C47" w:rsidRDefault="00ED1ED5" w:rsidP="00461953">
      <w:pPr>
        <w:pStyle w:val="Textkrper"/>
        <w:ind w:left="0"/>
        <w:jc w:val="both"/>
        <w:rPr>
          <w:lang w:val="hu"/>
        </w:rPr>
      </w:pPr>
      <w:r>
        <w:rPr>
          <w:lang w:val="hu"/>
        </w:rPr>
        <w:t>Ahol ilyen ágazati kollektív szerződés nem létezik, kizárólag az aláíró feleket kötelezik (és ahol viszonylag alacsony a szociális partnerek általi lefedettség)</w:t>
      </w:r>
      <w:r w:rsidR="00E10A92">
        <w:rPr>
          <w:lang w:val="hu"/>
        </w:rPr>
        <w:t>,</w:t>
      </w:r>
      <w:r>
        <w:rPr>
          <w:lang w:val="hu"/>
        </w:rPr>
        <w:t xml:space="preserve"> és ahol nagy a szakadék az ágazat</w:t>
      </w:r>
      <w:r w:rsidR="00E10A92">
        <w:rPr>
          <w:lang w:val="hu"/>
        </w:rPr>
        <w:t>i</w:t>
      </w:r>
      <w:r>
        <w:rPr>
          <w:lang w:val="hu"/>
        </w:rPr>
        <w:t xml:space="preserve"> szintű megállapodások és a vállalati szintű megállapodások között, a szociális feltételek gyakorlata a versenyeztetésben sokkal nagyobb szerepet játszhatna (lsd. fentebb az 5.1.4 </w:t>
      </w:r>
      <w:r w:rsidR="00E10A92">
        <w:rPr>
          <w:lang w:val="hu"/>
        </w:rPr>
        <w:t>pontot</w:t>
      </w:r>
      <w:r>
        <w:rPr>
          <w:lang w:val="hu"/>
        </w:rPr>
        <w:t xml:space="preserve">) az egyenlő versenyfeltételek </w:t>
      </w:r>
      <w:r w:rsidR="00E10A92">
        <w:rPr>
          <w:lang w:val="hu"/>
        </w:rPr>
        <w:t>meg</w:t>
      </w:r>
      <w:r>
        <w:rPr>
          <w:lang w:val="hu"/>
        </w:rPr>
        <w:t xml:space="preserve">teremtésében az ajánlattevők körében.   </w:t>
      </w:r>
    </w:p>
    <w:p w:rsidR="00ED1ED5" w:rsidRPr="00867C47" w:rsidRDefault="00ED1ED5" w:rsidP="00461953">
      <w:pPr>
        <w:pStyle w:val="Textkrper"/>
        <w:ind w:left="0"/>
        <w:jc w:val="both"/>
        <w:rPr>
          <w:lang w:val="hu"/>
        </w:rPr>
      </w:pPr>
      <w:r>
        <w:rPr>
          <w:lang w:val="hu"/>
        </w:rPr>
        <w:t>A kutatás eredményei a szociális feltételek gyakorlatáról a közszolgáltatási kötelezettségekről szóló rendelet közbeszerzési eljárásairól (különösképp a versenytárgyalási eljárások</w:t>
      </w:r>
      <w:r w:rsidR="001E5E06">
        <w:rPr>
          <w:lang w:val="hu"/>
        </w:rPr>
        <w:t>ról</w:t>
      </w:r>
      <w:r>
        <w:rPr>
          <w:lang w:val="hu"/>
        </w:rPr>
        <w:t>) a következőképpen foglalhatók össze:</w:t>
      </w:r>
    </w:p>
    <w:p w:rsidR="00ED1ED5" w:rsidRPr="00867C47" w:rsidRDefault="00ED1ED5" w:rsidP="00461953">
      <w:pPr>
        <w:pStyle w:val="BTBullet1"/>
        <w:numPr>
          <w:ilvl w:val="0"/>
          <w:numId w:val="42"/>
        </w:numPr>
        <w:jc w:val="both"/>
        <w:rPr>
          <w:lang w:val="hu"/>
        </w:rPr>
      </w:pPr>
      <w:r>
        <w:rPr>
          <w:lang w:val="hu"/>
        </w:rPr>
        <w:t xml:space="preserve">Németország </w:t>
      </w:r>
      <w:r w:rsidR="008C1929">
        <w:rPr>
          <w:lang w:val="hu"/>
        </w:rPr>
        <w:t>vitathatatlanul</w:t>
      </w:r>
      <w:r w:rsidR="00E1074B">
        <w:rPr>
          <w:lang w:val="hu"/>
        </w:rPr>
        <w:t xml:space="preserve"> </w:t>
      </w:r>
      <w:r>
        <w:rPr>
          <w:lang w:val="hu"/>
        </w:rPr>
        <w:t>az egyetlen ország, ahol kifejezetten alkalmazzák a közszolgáltatási kötelezettségekről szóló rendelet</w:t>
      </w:r>
      <w:r w:rsidR="008C1929">
        <w:rPr>
          <w:lang w:val="hu"/>
        </w:rPr>
        <w:t>nek</w:t>
      </w:r>
      <w:r>
        <w:rPr>
          <w:lang w:val="hu"/>
        </w:rPr>
        <w:t xml:space="preserve"> a közbeszerzési eljárásokról </w:t>
      </w:r>
      <w:r w:rsidR="008C1929">
        <w:rPr>
          <w:lang w:val="hu"/>
        </w:rPr>
        <w:t xml:space="preserve">szóló </w:t>
      </w:r>
      <w:r>
        <w:rPr>
          <w:lang w:val="hu"/>
        </w:rPr>
        <w:t>4(5)</w:t>
      </w:r>
      <w:r w:rsidR="00457311">
        <w:rPr>
          <w:lang w:val="hu"/>
        </w:rPr>
        <w:t>.</w:t>
      </w:r>
      <w:r>
        <w:rPr>
          <w:lang w:val="hu"/>
        </w:rPr>
        <w:t xml:space="preserve"> és 4(6)</w:t>
      </w:r>
      <w:r w:rsidR="00457311">
        <w:rPr>
          <w:lang w:val="hu"/>
        </w:rPr>
        <w:t>.</w:t>
      </w:r>
      <w:r>
        <w:rPr>
          <w:lang w:val="hu"/>
        </w:rPr>
        <w:t xml:space="preserve"> cikkét egyértelmű szociális feltételek kiépítésére és a szociális dömping megelőzésére. Németország 16 tartományából 14-ben létezik külön jogszabály – amit a kollektív szerződésnek való megfelel</w:t>
      </w:r>
      <w:r w:rsidR="008C1929">
        <w:rPr>
          <w:lang w:val="hu"/>
        </w:rPr>
        <w:t>ésről szóló</w:t>
      </w:r>
      <w:r>
        <w:rPr>
          <w:lang w:val="hu"/>
        </w:rPr>
        <w:t xml:space="preserve"> jogszabálynak hívnak (</w:t>
      </w:r>
      <w:r>
        <w:rPr>
          <w:i/>
          <w:iCs/>
          <w:lang w:val="hu"/>
        </w:rPr>
        <w:t>Tariftreuegesetze</w:t>
      </w:r>
      <w:r>
        <w:rPr>
          <w:lang w:val="hu"/>
        </w:rPr>
        <w:t>, TTG</w:t>
      </w:r>
      <w:r w:rsidR="00AE0A71">
        <w:rPr>
          <w:lang w:val="hu"/>
        </w:rPr>
        <w:t>-k</w:t>
      </w:r>
      <w:r>
        <w:rPr>
          <w:lang w:val="hu"/>
        </w:rPr>
        <w:t xml:space="preserve">), amely kifejezetten a szociális normák védelmére szolgál. Ezek a normák a </w:t>
      </w:r>
      <w:r w:rsidR="008C1929">
        <w:rPr>
          <w:lang w:val="hu"/>
        </w:rPr>
        <w:t>„</w:t>
      </w:r>
      <w:r>
        <w:rPr>
          <w:lang w:val="hu"/>
        </w:rPr>
        <w:t>képviseleti kollektív szerződések</w:t>
      </w:r>
      <w:r w:rsidR="008C1929">
        <w:rPr>
          <w:lang w:val="hu"/>
        </w:rPr>
        <w:t>”</w:t>
      </w:r>
      <w:r>
        <w:rPr>
          <w:lang w:val="hu"/>
        </w:rPr>
        <w:t xml:space="preserve"> elnevezést kapták</w:t>
      </w:r>
      <w:r w:rsidR="008C1929">
        <w:rPr>
          <w:lang w:val="hu"/>
        </w:rPr>
        <w:t>,</w:t>
      </w:r>
      <w:r>
        <w:rPr>
          <w:lang w:val="hu"/>
        </w:rPr>
        <w:t xml:space="preserve"> és egy adott tartományra vonatkoznak, ahol kötelezik a vállalatokat azok betartására versenytárgyalási eljárások során. E</w:t>
      </w:r>
      <w:r w:rsidR="00A012C1">
        <w:rPr>
          <w:lang w:val="hu"/>
        </w:rPr>
        <w:t xml:space="preserve"> </w:t>
      </w:r>
      <w:r>
        <w:rPr>
          <w:lang w:val="hu"/>
        </w:rPr>
        <w:t xml:space="preserve">jogszabályok </w:t>
      </w:r>
      <w:r w:rsidR="008C1929">
        <w:rPr>
          <w:lang w:val="hu"/>
        </w:rPr>
        <w:t>célja</w:t>
      </w:r>
      <w:r w:rsidR="00A012C1">
        <w:rPr>
          <w:lang w:val="hu"/>
        </w:rPr>
        <w:t xml:space="preserve"> </w:t>
      </w:r>
      <w:r>
        <w:rPr>
          <w:lang w:val="hu"/>
        </w:rPr>
        <w:t xml:space="preserve">szociális szempontból </w:t>
      </w:r>
      <w:r w:rsidR="008C1929">
        <w:rPr>
          <w:lang w:val="hu"/>
        </w:rPr>
        <w:t xml:space="preserve">egyenlő versenyfeltételeket meghatározása </w:t>
      </w:r>
      <w:r>
        <w:rPr>
          <w:lang w:val="hu"/>
        </w:rPr>
        <w:t xml:space="preserve">minden versenytárgyalási eljárásban résztvevő ajánlattevő részére, főképp a bérek tekintetében. </w:t>
      </w:r>
      <w:r w:rsidR="008C1929">
        <w:rPr>
          <w:lang w:val="hu"/>
        </w:rPr>
        <w:t>Bár</w:t>
      </w:r>
      <w:r>
        <w:rPr>
          <w:lang w:val="hu"/>
        </w:rPr>
        <w:t xml:space="preserve"> a szociális szempontok </w:t>
      </w:r>
      <w:r w:rsidR="008C1929">
        <w:rPr>
          <w:lang w:val="hu"/>
        </w:rPr>
        <w:t>figyelembe vételének gyakorlata</w:t>
      </w:r>
      <w:r>
        <w:rPr>
          <w:lang w:val="hu"/>
        </w:rPr>
        <w:t xml:space="preserve"> a versenytárgyalási eljárás</w:t>
      </w:r>
      <w:r w:rsidR="008C1929">
        <w:rPr>
          <w:lang w:val="hu"/>
        </w:rPr>
        <w:t xml:space="preserve"> során</w:t>
      </w:r>
      <w:r>
        <w:rPr>
          <w:lang w:val="hu"/>
        </w:rPr>
        <w:t xml:space="preserve"> a német városi tömegközlekedési szolgáltatások</w:t>
      </w:r>
      <w:r w:rsidR="008C1929">
        <w:rPr>
          <w:lang w:val="hu"/>
        </w:rPr>
        <w:t xml:space="preserve"> terén</w:t>
      </w:r>
      <w:r>
        <w:rPr>
          <w:lang w:val="hu"/>
        </w:rPr>
        <w:t xml:space="preserve"> megelőzte a 1370/2007/EK rendelet </w:t>
      </w:r>
      <w:r w:rsidR="008C1929">
        <w:rPr>
          <w:lang w:val="hu"/>
        </w:rPr>
        <w:t xml:space="preserve">hatályba </w:t>
      </w:r>
      <w:r w:rsidR="002B53C0">
        <w:rPr>
          <w:lang w:val="hu"/>
        </w:rPr>
        <w:t>l</w:t>
      </w:r>
      <w:r>
        <w:rPr>
          <w:lang w:val="hu"/>
        </w:rPr>
        <w:t xml:space="preserve">épését </w:t>
      </w:r>
      <w:r w:rsidR="008C1929">
        <w:rPr>
          <w:lang w:val="hu"/>
        </w:rPr>
        <w:t>egyes</w:t>
      </w:r>
      <w:r>
        <w:rPr>
          <w:lang w:val="hu"/>
        </w:rPr>
        <w:t xml:space="preserve"> szövetségi államokban (és </w:t>
      </w:r>
      <w:r w:rsidR="008C1929">
        <w:rPr>
          <w:lang w:val="hu"/>
        </w:rPr>
        <w:t xml:space="preserve">legfontosabb </w:t>
      </w:r>
      <w:r>
        <w:rPr>
          <w:lang w:val="hu"/>
        </w:rPr>
        <w:t>rendelkezéseinek bevezetését a személyszállítási törvénybe), a rendelet 4(5)</w:t>
      </w:r>
      <w:r w:rsidR="00457311">
        <w:rPr>
          <w:lang w:val="hu"/>
        </w:rPr>
        <w:t>.</w:t>
      </w:r>
      <w:r>
        <w:rPr>
          <w:lang w:val="hu"/>
        </w:rPr>
        <w:t xml:space="preserve"> és 4(6)</w:t>
      </w:r>
      <w:r w:rsidR="00457311">
        <w:rPr>
          <w:lang w:val="hu"/>
        </w:rPr>
        <w:t>.</w:t>
      </w:r>
      <w:r>
        <w:rPr>
          <w:lang w:val="hu"/>
        </w:rPr>
        <w:t xml:space="preserve"> cikkét és a Preambulumbekezdés 16. és 17. cikkét gyakran idézik versenytárgyalási eljárásokkor</w:t>
      </w:r>
      <w:r w:rsidR="008C1929">
        <w:rPr>
          <w:lang w:val="hu"/>
        </w:rPr>
        <w:t>,</w:t>
      </w:r>
      <w:r>
        <w:rPr>
          <w:lang w:val="hu"/>
        </w:rPr>
        <w:t xml:space="preserve"> </w:t>
      </w:r>
      <w:r w:rsidR="008C1929">
        <w:rPr>
          <w:lang w:val="hu"/>
        </w:rPr>
        <w:t>hivatkozásképpen, ha egy ajánlat kiválasztásakor</w:t>
      </w:r>
      <w:r>
        <w:rPr>
          <w:lang w:val="hu"/>
        </w:rPr>
        <w:t xml:space="preserve"> a szociális feltételeke</w:t>
      </w:r>
      <w:r w:rsidR="008C1929">
        <w:rPr>
          <w:lang w:val="hu"/>
        </w:rPr>
        <w:t>t vesznek alapul</w:t>
      </w:r>
      <w:r>
        <w:rPr>
          <w:lang w:val="hu"/>
        </w:rPr>
        <w:t xml:space="preserve">. </w:t>
      </w:r>
    </w:p>
    <w:p w:rsidR="00ED1ED5" w:rsidRPr="00867C47" w:rsidRDefault="00ED1ED5" w:rsidP="00461953">
      <w:pPr>
        <w:pStyle w:val="BTBullet1Last"/>
        <w:numPr>
          <w:ilvl w:val="0"/>
          <w:numId w:val="42"/>
        </w:numPr>
        <w:jc w:val="both"/>
        <w:rPr>
          <w:lang w:val="hu"/>
        </w:rPr>
      </w:pPr>
      <w:r>
        <w:rPr>
          <w:lang w:val="hu"/>
        </w:rPr>
        <w:t>Csak nagyon kevés esetben számítottak a feltételrendszer egyik kritériumának a szociális feltételek; a legfontosabb kitételek az ár, a gördülőállomány műszaki követelményei és a szolgáltatás minősége (pontosság, gördülőállomány, tisztaság, ügyfélszolgáltatás, gépjárművezetők képzettsége);</w:t>
      </w:r>
    </w:p>
    <w:p w:rsidR="00ED1ED5" w:rsidRPr="00867C47" w:rsidRDefault="00ED1ED5" w:rsidP="00461953">
      <w:pPr>
        <w:pStyle w:val="BTBullet1"/>
        <w:numPr>
          <w:ilvl w:val="0"/>
          <w:numId w:val="42"/>
        </w:numPr>
        <w:jc w:val="both"/>
        <w:rPr>
          <w:lang w:val="hu"/>
        </w:rPr>
      </w:pPr>
      <w:r>
        <w:rPr>
          <w:lang w:val="hu"/>
        </w:rPr>
        <w:t xml:space="preserve">Azokban az országok, ahol általános érvényű ágazati kollektív szerződések </w:t>
      </w:r>
      <w:r w:rsidR="00B13D81">
        <w:rPr>
          <w:lang w:val="hu"/>
        </w:rPr>
        <w:t>vannak érvényben</w:t>
      </w:r>
      <w:r>
        <w:rPr>
          <w:lang w:val="hu"/>
        </w:rPr>
        <w:t>, az illetékes hatóságok úgy tekintik, hogy a munka</w:t>
      </w:r>
      <w:r w:rsidR="00B13D81">
        <w:rPr>
          <w:lang w:val="hu"/>
        </w:rPr>
        <w:t xml:space="preserve">jogi </w:t>
      </w:r>
      <w:r>
        <w:rPr>
          <w:lang w:val="hu"/>
        </w:rPr>
        <w:t xml:space="preserve">szabályzás és az ágazati </w:t>
      </w:r>
      <w:r w:rsidR="00B13D81">
        <w:rPr>
          <w:lang w:val="hu"/>
        </w:rPr>
        <w:t xml:space="preserve">szintű </w:t>
      </w:r>
      <w:r w:rsidR="00216F0E">
        <w:rPr>
          <w:lang w:val="hu"/>
        </w:rPr>
        <w:t xml:space="preserve">kollektív szerződések </w:t>
      </w:r>
      <w:r>
        <w:rPr>
          <w:lang w:val="hu"/>
        </w:rPr>
        <w:t>megfelelő szociális normákat biztosít</w:t>
      </w:r>
      <w:r w:rsidR="00B13D81">
        <w:rPr>
          <w:lang w:val="hu"/>
        </w:rPr>
        <w:t>anak,</w:t>
      </w:r>
      <w:r>
        <w:rPr>
          <w:lang w:val="hu"/>
        </w:rPr>
        <w:t xml:space="preserve"> és ezért nem említik külön a közbeszerzési eljárásokban vagy pedig kedvezőbb jogokat és feltételeket írnak elő, mint ami az ágazati kollektív szerződésekben szerepel. Ez az érv megkérdőjelezhető egyes esetekben, amikor nagy a szakadék a vállalati szintű munkafeltételek és az ágazati kollektív szerződésekben lefektetettek között. Ausztriában például egyértelművé vált, hogy a nemzeti jogszabályok alapján, az illetékes hatóságnak egy sor ellenőrzést kell végrehajtania az ajánlatok mentén, úgymint személyzeti költség ajánlat (az ajánlott ár meg kell, hogy feleljen a</w:t>
      </w:r>
      <w:r w:rsidR="002B53C0">
        <w:rPr>
          <w:lang w:val="hu"/>
        </w:rPr>
        <w:t xml:space="preserve"> </w:t>
      </w:r>
      <w:r>
        <w:rPr>
          <w:lang w:val="hu"/>
        </w:rPr>
        <w:t>kollektív szerződésben feltüntetettnek) és a buszsofőrök tapasztalata; a társadalombiztosítás</w:t>
      </w:r>
      <w:r w:rsidR="00B13D81">
        <w:rPr>
          <w:lang w:val="hu"/>
        </w:rPr>
        <w:t>i járulékok</w:t>
      </w:r>
      <w:r>
        <w:rPr>
          <w:lang w:val="hu"/>
        </w:rPr>
        <w:t xml:space="preserve"> befizetése</w:t>
      </w:r>
      <w:r w:rsidR="00B13D81">
        <w:rPr>
          <w:lang w:val="hu"/>
        </w:rPr>
        <w:t>,</w:t>
      </w:r>
      <w:r>
        <w:rPr>
          <w:lang w:val="hu"/>
        </w:rPr>
        <w:t xml:space="preserve"> valamint a külföldi munkavállalók jogszerű alkalmazása; </w:t>
      </w:r>
    </w:p>
    <w:p w:rsidR="00ED1ED5" w:rsidRPr="00867C47" w:rsidRDefault="00ED1ED5" w:rsidP="00461953">
      <w:pPr>
        <w:pStyle w:val="BTBullet1"/>
        <w:numPr>
          <w:ilvl w:val="0"/>
          <w:numId w:val="42"/>
        </w:numPr>
        <w:jc w:val="both"/>
        <w:rPr>
          <w:lang w:val="hu"/>
        </w:rPr>
      </w:pPr>
      <w:r>
        <w:rPr>
          <w:lang w:val="hu"/>
        </w:rPr>
        <w:t>Egyes esetekben a képzési követelményekre, a személyzet végzettségére, a nyelvtudásra és az általánosan ellenőrizhető megfelelő szintű normákra valamint az emberi erőforrás kezelésére is hivatkozhatnak (beleértve a személyzet felvételét, megtartását és a konfliktuskezelést) pl. Franciaországban és Ausztriában, előfordul az is, hogy a gördülőállomány</w:t>
      </w:r>
      <w:r w:rsidR="00B13D81">
        <w:rPr>
          <w:lang w:val="hu"/>
        </w:rPr>
        <w:t>nak</w:t>
      </w:r>
      <w:r>
        <w:rPr>
          <w:lang w:val="hu"/>
        </w:rPr>
        <w:t xml:space="preserve"> specifikus műszaki követelménye</w:t>
      </w:r>
      <w:r w:rsidR="00B13D81">
        <w:rPr>
          <w:lang w:val="hu"/>
        </w:rPr>
        <w:t>k</w:t>
      </w:r>
      <w:r>
        <w:rPr>
          <w:lang w:val="hu"/>
        </w:rPr>
        <w:t>nek is meg kell felelni</w:t>
      </w:r>
      <w:r w:rsidR="00B13D81">
        <w:rPr>
          <w:lang w:val="hu"/>
        </w:rPr>
        <w:t>e</w:t>
      </w:r>
      <w:r>
        <w:rPr>
          <w:lang w:val="hu"/>
        </w:rPr>
        <w:t xml:space="preserve"> a gépjárművezetők érdekében elvárt munkavédelmi szint betartására (pl. ergon</w:t>
      </w:r>
      <w:r w:rsidR="006251F5">
        <w:rPr>
          <w:lang w:val="hu"/>
        </w:rPr>
        <w:t>o</w:t>
      </w:r>
      <w:r>
        <w:rPr>
          <w:lang w:val="hu"/>
        </w:rPr>
        <w:t>mikus ülések Hollandiában). Említésre került az is, hogy a szociális követelmények közé tartozik a tanoncok vagy idősebb munkavállalók felvétele is</w:t>
      </w:r>
      <w:r w:rsidR="00AE0A71">
        <w:rPr>
          <w:lang w:val="hu"/>
        </w:rPr>
        <w:t>,</w:t>
      </w:r>
      <w:r>
        <w:rPr>
          <w:lang w:val="hu"/>
        </w:rPr>
        <w:t xml:space="preserve"> </w:t>
      </w:r>
      <w:r w:rsidR="00AE0A71">
        <w:rPr>
          <w:lang w:val="hu"/>
        </w:rPr>
        <w:t>b</w:t>
      </w:r>
      <w:r>
        <w:rPr>
          <w:lang w:val="hu"/>
        </w:rPr>
        <w:t>ár az ilyen esetek kivételnek számítanak a versenytárgyalási eljárásokban;</w:t>
      </w:r>
    </w:p>
    <w:p w:rsidR="00ED1ED5" w:rsidRPr="00867C47" w:rsidRDefault="00ED1ED5" w:rsidP="00461953">
      <w:pPr>
        <w:pStyle w:val="BTBullet1Last"/>
        <w:numPr>
          <w:ilvl w:val="0"/>
          <w:numId w:val="42"/>
        </w:numPr>
        <w:jc w:val="both"/>
        <w:rPr>
          <w:bCs/>
          <w:lang w:val="hu"/>
        </w:rPr>
      </w:pPr>
      <w:r>
        <w:rPr>
          <w:lang w:val="hu"/>
        </w:rPr>
        <w:t>A szociális feltételekre (a fent említettek alapján) és az emberi erőforrás kezelésére (pl. teljesítmén</w:t>
      </w:r>
      <w:r w:rsidR="00AE0A71">
        <w:rPr>
          <w:lang w:val="hu"/>
        </w:rPr>
        <w:t>nyel</w:t>
      </w:r>
      <w:r>
        <w:rPr>
          <w:lang w:val="hu"/>
        </w:rPr>
        <w:t>, jutalm</w:t>
      </w:r>
      <w:r w:rsidR="00AE0A71">
        <w:rPr>
          <w:lang w:val="hu"/>
        </w:rPr>
        <w:t>azással</w:t>
      </w:r>
      <w:r>
        <w:rPr>
          <w:lang w:val="hu"/>
        </w:rPr>
        <w:t xml:space="preserve"> és termelékenység</w:t>
      </w:r>
      <w:r w:rsidR="00AE0A71">
        <w:rPr>
          <w:lang w:val="hu"/>
        </w:rPr>
        <w:t>gel kapcsolatos</w:t>
      </w:r>
      <w:r>
        <w:rPr>
          <w:lang w:val="hu"/>
        </w:rPr>
        <w:t xml:space="preserve"> követelmények) hivatkozva közvetlenül belső szolgáltatónak odaítélt szerződések is </w:t>
      </w:r>
      <w:r w:rsidR="002B53C0">
        <w:rPr>
          <w:lang w:val="hu"/>
        </w:rPr>
        <w:t>előforduln</w:t>
      </w:r>
      <w:r>
        <w:rPr>
          <w:lang w:val="hu"/>
        </w:rPr>
        <w:t>ak, erre példa Belgium (Vallónia és Flandria) vagy Franciaország.</w:t>
      </w:r>
    </w:p>
    <w:p w:rsidR="00ED1ED5" w:rsidRDefault="00ED1ED5" w:rsidP="00461953">
      <w:pPr>
        <w:pStyle w:val="Textkrper"/>
        <w:ind w:left="0"/>
        <w:jc w:val="both"/>
        <w:rPr>
          <w:bCs/>
        </w:rPr>
      </w:pPr>
      <w:r>
        <w:rPr>
          <w:lang w:val="hu"/>
        </w:rPr>
        <w:t>A szociális feltételek</w:t>
      </w:r>
      <w:r w:rsidR="00AE0A71">
        <w:rPr>
          <w:lang w:val="hu"/>
        </w:rPr>
        <w:t>kel kapcsolatban a</w:t>
      </w:r>
      <w:r>
        <w:rPr>
          <w:lang w:val="hu"/>
        </w:rPr>
        <w:t xml:space="preserve"> legfőbb probléma</w:t>
      </w:r>
      <w:r w:rsidR="00AE0A71">
        <w:rPr>
          <w:lang w:val="hu"/>
        </w:rPr>
        <w:t xml:space="preserve"> </w:t>
      </w:r>
      <w:r>
        <w:rPr>
          <w:lang w:val="hu"/>
        </w:rPr>
        <w:t>a pályázati eljárásokban azok végrehajtása</w:t>
      </w:r>
      <w:r w:rsidR="00AE0A71">
        <w:rPr>
          <w:lang w:val="hu"/>
        </w:rPr>
        <w:t>,</w:t>
      </w:r>
      <w:r>
        <w:rPr>
          <w:lang w:val="hu"/>
        </w:rPr>
        <w:t xml:space="preserve"> </w:t>
      </w:r>
      <w:r w:rsidR="00AE0A71">
        <w:rPr>
          <w:lang w:val="hu"/>
        </w:rPr>
        <w:t>amennyiben</w:t>
      </w:r>
      <w:r>
        <w:rPr>
          <w:lang w:val="hu"/>
        </w:rPr>
        <w:t xml:space="preserve"> az illetékes hatóság a szociális feltételekre való </w:t>
      </w:r>
      <w:r w:rsidR="00AE0A71">
        <w:rPr>
          <w:lang w:val="hu"/>
        </w:rPr>
        <w:t>hivatkozás</w:t>
      </w:r>
      <w:r>
        <w:rPr>
          <w:lang w:val="hu"/>
        </w:rPr>
        <w:t xml:space="preserve"> mellett dönt. Ezt a problémát a német TTG</w:t>
      </w:r>
      <w:r w:rsidR="00AE0A71">
        <w:rPr>
          <w:lang w:val="hu"/>
        </w:rPr>
        <w:t>-k</w:t>
      </w:r>
      <w:r>
        <w:rPr>
          <w:lang w:val="hu"/>
        </w:rPr>
        <w:t xml:space="preserve"> értékelések is kiemelték.</w:t>
      </w:r>
    </w:p>
    <w:p w:rsidR="00ED1ED5" w:rsidRDefault="00ED1ED5" w:rsidP="00461953">
      <w:pPr>
        <w:pStyle w:val="berschrift3"/>
        <w:numPr>
          <w:ilvl w:val="0"/>
          <w:numId w:val="37"/>
        </w:numPr>
        <w:jc w:val="both"/>
      </w:pPr>
      <w:r>
        <w:rPr>
          <w:lang w:val="hu"/>
        </w:rPr>
        <w:t>Rendelkezések a személyzet áthelyezéséről szolgáltató</w:t>
      </w:r>
      <w:r w:rsidR="009A35D4">
        <w:rPr>
          <w:lang w:val="hu"/>
        </w:rPr>
        <w:t>váltás</w:t>
      </w:r>
      <w:r>
        <w:rPr>
          <w:lang w:val="hu"/>
        </w:rPr>
        <w:t xml:space="preserve"> esetén</w:t>
      </w:r>
      <w:r w:rsidR="001F67DB">
        <w:rPr>
          <w:lang w:val="hu"/>
        </w:rPr>
        <w:t>,</w:t>
      </w:r>
      <w:r>
        <w:rPr>
          <w:lang w:val="hu"/>
        </w:rPr>
        <w:t xml:space="preserve"> és annak a személyzet védelmére</w:t>
      </w:r>
      <w:r w:rsidR="00CB5597">
        <w:rPr>
          <w:lang w:val="hu"/>
        </w:rPr>
        <w:t xml:space="preserve"> gyakorolt hatása</w:t>
      </w:r>
    </w:p>
    <w:p w:rsidR="00ED1ED5" w:rsidRPr="00867C47" w:rsidRDefault="00ED1ED5" w:rsidP="00461953">
      <w:pPr>
        <w:pStyle w:val="Textkrper"/>
        <w:ind w:left="0"/>
        <w:jc w:val="both"/>
        <w:rPr>
          <w:bCs/>
          <w:lang w:val="hu"/>
        </w:rPr>
      </w:pPr>
      <w:r>
        <w:rPr>
          <w:lang w:val="hu"/>
        </w:rPr>
        <w:t>Öt alapvető helyzetben valósul meg személyzetáthelyezés, amikor a városi tömegközlekedésben üzemeltető</w:t>
      </w:r>
      <w:r w:rsidR="00E1074B">
        <w:rPr>
          <w:lang w:val="hu"/>
        </w:rPr>
        <w:t>váltás</w:t>
      </w:r>
      <w:r>
        <w:rPr>
          <w:lang w:val="hu"/>
        </w:rPr>
        <w:t xml:space="preserve"> áll be. Három helyzet jogilag </w:t>
      </w:r>
      <w:r w:rsidR="001F67DB">
        <w:rPr>
          <w:lang w:val="hu"/>
        </w:rPr>
        <w:t>„</w:t>
      </w:r>
      <w:r>
        <w:rPr>
          <w:lang w:val="hu"/>
        </w:rPr>
        <w:t>személyzetáthelyezésnek</w:t>
      </w:r>
      <w:r w:rsidR="001F67DB">
        <w:rPr>
          <w:lang w:val="hu"/>
        </w:rPr>
        <w:t>”</w:t>
      </w:r>
      <w:r>
        <w:rPr>
          <w:lang w:val="hu"/>
        </w:rPr>
        <w:t xml:space="preserve"> minősíthető, míg két helyzet, de facto, gyakorlatilag személyzetátvétel:</w:t>
      </w:r>
    </w:p>
    <w:p w:rsidR="00ED1ED5" w:rsidRPr="00867C47" w:rsidRDefault="00ED1ED5" w:rsidP="00461953">
      <w:pPr>
        <w:numPr>
          <w:ilvl w:val="0"/>
          <w:numId w:val="40"/>
        </w:numPr>
        <w:rPr>
          <w:lang w:val="hu"/>
        </w:rPr>
      </w:pPr>
      <w:r>
        <w:rPr>
          <w:lang w:val="hu"/>
        </w:rPr>
        <w:t xml:space="preserve">A személyzet áthelyezését a nemzeti törvénykezés írja elő (pl. a </w:t>
      </w:r>
      <w:r w:rsidR="001511CA">
        <w:rPr>
          <w:lang w:val="hu"/>
        </w:rPr>
        <w:t>közlekedési jog</w:t>
      </w:r>
      <w:r>
        <w:rPr>
          <w:lang w:val="hu"/>
        </w:rPr>
        <w:t xml:space="preserve">) – erre példa Hollandia. </w:t>
      </w:r>
    </w:p>
    <w:p w:rsidR="00ED1ED5" w:rsidRPr="00867C47" w:rsidRDefault="00ED1ED5" w:rsidP="00461953">
      <w:pPr>
        <w:numPr>
          <w:ilvl w:val="0"/>
          <w:numId w:val="40"/>
        </w:numPr>
        <w:rPr>
          <w:lang w:val="hu"/>
        </w:rPr>
      </w:pPr>
      <w:r>
        <w:rPr>
          <w:lang w:val="hu"/>
        </w:rPr>
        <w:t>A 2001/23/EK irányelv átültetésével a nemzeti jogsz</w:t>
      </w:r>
      <w:r w:rsidR="00216F0E">
        <w:rPr>
          <w:lang w:val="hu"/>
        </w:rPr>
        <w:t xml:space="preserve">abályokba, a szolgáltatóváltás </w:t>
      </w:r>
      <w:r>
        <w:rPr>
          <w:lang w:val="hu"/>
        </w:rPr>
        <w:t xml:space="preserve">versenytárgyalási eljárás után mindig a vállalkozás átruházását jelenti. Ez </w:t>
      </w:r>
      <w:r w:rsidR="008A3180">
        <w:rPr>
          <w:lang w:val="hu"/>
        </w:rPr>
        <w:t>olyan ország-specifikus alkalmazás</w:t>
      </w:r>
      <w:r>
        <w:rPr>
          <w:lang w:val="hu"/>
        </w:rPr>
        <w:t>, amely kiterjeszti a vállalkozás</w:t>
      </w:r>
      <w:r w:rsidR="008A3180">
        <w:rPr>
          <w:lang w:val="hu"/>
        </w:rPr>
        <w:t xml:space="preserve">ok </w:t>
      </w:r>
      <w:r>
        <w:rPr>
          <w:lang w:val="hu"/>
        </w:rPr>
        <w:t>átruházás</w:t>
      </w:r>
      <w:r w:rsidR="008A3180">
        <w:rPr>
          <w:lang w:val="hu"/>
        </w:rPr>
        <w:t>á</w:t>
      </w:r>
      <w:r>
        <w:rPr>
          <w:lang w:val="hu"/>
        </w:rPr>
        <w:t>ról szóló EU irányelv hat</w:t>
      </w:r>
      <w:r w:rsidR="008A3180">
        <w:rPr>
          <w:lang w:val="hu"/>
        </w:rPr>
        <w:t>ó</w:t>
      </w:r>
      <w:r>
        <w:rPr>
          <w:lang w:val="hu"/>
        </w:rPr>
        <w:t>körét, mely általában nem minősíti vállalkozás</w:t>
      </w:r>
      <w:r w:rsidR="00CC1D46">
        <w:rPr>
          <w:lang w:val="hu"/>
        </w:rPr>
        <w:t>-</w:t>
      </w:r>
      <w:r>
        <w:rPr>
          <w:lang w:val="hu"/>
        </w:rPr>
        <w:t>átruházásnak a szolgáltatóváltást versenytárgyalási eljárás után.  Ez a helyzet áll fenn például az Egyesült Királyságban és Franciaországban;</w:t>
      </w:r>
    </w:p>
    <w:p w:rsidR="00ED1ED5" w:rsidRDefault="00ED1ED5" w:rsidP="00461953">
      <w:pPr>
        <w:numPr>
          <w:ilvl w:val="0"/>
          <w:numId w:val="40"/>
        </w:numPr>
      </w:pPr>
      <w:r>
        <w:rPr>
          <w:lang w:val="hu"/>
        </w:rPr>
        <w:t xml:space="preserve">A pályázati kiírások megkövetelik a gördülőállomány és az eszköztár átruházását. Ebből kifolyólag, a szolgáltatóváltás a vállalkozás átruházásának minősíthető a személyzet áthelyezése szempontjából úgy, ahogy azt a 2001/23/EK irányelv nemzeti jogszabályba specifikusan átültetetett rendelkezései előírják. Következésképp a személyzet átkerül az új üzemeltetőhöz.  </w:t>
      </w:r>
    </w:p>
    <w:p w:rsidR="00ED1ED5" w:rsidRDefault="00ED1ED5" w:rsidP="00461953">
      <w:pPr>
        <w:pStyle w:val="Textkrper"/>
        <w:ind w:left="0"/>
        <w:jc w:val="both"/>
      </w:pPr>
      <w:r>
        <w:rPr>
          <w:lang w:val="hu"/>
        </w:rPr>
        <w:t xml:space="preserve">De facto, két helyzet állhat fel a személyzet áthelyezésekor: </w:t>
      </w:r>
    </w:p>
    <w:p w:rsidR="00ED1ED5" w:rsidRDefault="00ED1ED5" w:rsidP="00461953">
      <w:pPr>
        <w:numPr>
          <w:ilvl w:val="0"/>
          <w:numId w:val="41"/>
        </w:numPr>
      </w:pPr>
      <w:r>
        <w:rPr>
          <w:lang w:val="hu"/>
        </w:rPr>
        <w:t xml:space="preserve">Az illetékes hatóságok alkalmazhatják a közszolgáltatási kötelezettségekről szóló rendelet közbeszerzési eljárásokra vonatkozó 4(5) és 4(6). cikkét – kifejezetten vagy </w:t>
      </w:r>
      <w:r w:rsidR="006B67B8">
        <w:rPr>
          <w:lang w:val="hu"/>
        </w:rPr>
        <w:t>hallgatólagosan</w:t>
      </w:r>
      <w:r>
        <w:rPr>
          <w:lang w:val="hu"/>
        </w:rPr>
        <w:t xml:space="preserve"> – előírva a személyzet át</w:t>
      </w:r>
      <w:r w:rsidR="006B67B8">
        <w:rPr>
          <w:lang w:val="hu"/>
        </w:rPr>
        <w:t>helyezését</w:t>
      </w:r>
      <w:r>
        <w:rPr>
          <w:lang w:val="hu"/>
        </w:rPr>
        <w:t xml:space="preserve"> üzemeltető</w:t>
      </w:r>
      <w:r w:rsidR="00FC0A7D">
        <w:rPr>
          <w:lang w:val="hu"/>
        </w:rPr>
        <w:t>váltás</w:t>
      </w:r>
      <w:r>
        <w:rPr>
          <w:lang w:val="hu"/>
        </w:rPr>
        <w:t xml:space="preserve"> esetén (az eszköz</w:t>
      </w:r>
      <w:r w:rsidR="006B67B8">
        <w:rPr>
          <w:lang w:val="hu"/>
        </w:rPr>
        <w:t>ök</w:t>
      </w:r>
      <w:r>
        <w:rPr>
          <w:lang w:val="hu"/>
        </w:rPr>
        <w:t xml:space="preserve"> átruházása nélkül). Ilyen helyzetre akad példa Németországban és Stockholmban.</w:t>
      </w:r>
    </w:p>
    <w:p w:rsidR="00ED1ED5" w:rsidRPr="00867C47" w:rsidRDefault="00ED1ED5" w:rsidP="00461953">
      <w:pPr>
        <w:numPr>
          <w:ilvl w:val="0"/>
          <w:numId w:val="41"/>
        </w:numPr>
        <w:rPr>
          <w:lang w:val="hu"/>
        </w:rPr>
      </w:pPr>
      <w:r>
        <w:rPr>
          <w:lang w:val="hu"/>
        </w:rPr>
        <w:t xml:space="preserve">A személyzetáthelyezést nem az illetékes hatóság rendeli el, a gyakorlatban az átadó, az átvevő és az illetékes szakszervezetek járnak el tárgyalásos úton vagy eseti alapon vagy az ágazati kollektív szerződés </w:t>
      </w:r>
      <w:r w:rsidR="006B67B8">
        <w:rPr>
          <w:lang w:val="hu"/>
        </w:rPr>
        <w:t>előírásai</w:t>
      </w:r>
      <w:r>
        <w:rPr>
          <w:lang w:val="hu"/>
        </w:rPr>
        <w:t xml:space="preserve"> alapján. Eseti alapon lefolytatott tárgyalásokra Svédországban akadt példa (Stockholmon kívül). Finnországban olyan ágazati kollektív szerződés</w:t>
      </w:r>
      <w:r w:rsidR="006B67B8">
        <w:rPr>
          <w:lang w:val="hu"/>
        </w:rPr>
        <w:t xml:space="preserve"> van hatályban</w:t>
      </w:r>
      <w:r>
        <w:rPr>
          <w:lang w:val="hu"/>
        </w:rPr>
        <w:t xml:space="preserve">, amely kimondja, hogy az üzemeltető változása esetén egy különleges </w:t>
      </w:r>
      <w:r w:rsidR="006B67B8">
        <w:rPr>
          <w:lang w:val="hu"/>
        </w:rPr>
        <w:t>„</w:t>
      </w:r>
      <w:r>
        <w:rPr>
          <w:lang w:val="hu"/>
        </w:rPr>
        <w:t>áthelyezési egység</w:t>
      </w:r>
      <w:r w:rsidR="00632B42">
        <w:rPr>
          <w:lang w:val="hu"/>
        </w:rPr>
        <w:t>”</w:t>
      </w:r>
      <w:r>
        <w:rPr>
          <w:lang w:val="hu"/>
        </w:rPr>
        <w:t xml:space="preserve"> alakul az állami foglalkoztatási szolgálatok égisze alatt, melyre az új szolgáltató köteles hagyatkozni a személyzet felvételekor. A jelenlegi gyakorlat azt mutatja, hogy a legtöbb dolgozó vagy átkerül az új szolgáltatóhoz</w:t>
      </w:r>
      <w:r w:rsidR="006B67B8">
        <w:rPr>
          <w:lang w:val="hu"/>
        </w:rPr>
        <w:t>,</w:t>
      </w:r>
      <w:r>
        <w:rPr>
          <w:lang w:val="hu"/>
        </w:rPr>
        <w:t xml:space="preserve"> vagy úgy dönt</w:t>
      </w:r>
      <w:r w:rsidR="006B67B8">
        <w:rPr>
          <w:lang w:val="hu"/>
        </w:rPr>
        <w:t>, hogy</w:t>
      </w:r>
      <w:r>
        <w:rPr>
          <w:lang w:val="hu"/>
        </w:rPr>
        <w:t xml:space="preserve"> elhagyja az ágazatot és más munka után néz. </w:t>
      </w:r>
    </w:p>
    <w:p w:rsidR="00ED1ED5" w:rsidRPr="00867C47" w:rsidRDefault="006B67B8" w:rsidP="00461953">
      <w:pPr>
        <w:pStyle w:val="Textkrper"/>
        <w:ind w:left="0"/>
        <w:jc w:val="both"/>
        <w:rPr>
          <w:lang w:val="hu"/>
        </w:rPr>
      </w:pPr>
      <w:r>
        <w:rPr>
          <w:lang w:val="hu"/>
        </w:rPr>
        <w:t>A</w:t>
      </w:r>
      <w:r w:rsidR="00ED1ED5">
        <w:rPr>
          <w:lang w:val="hu"/>
        </w:rPr>
        <w:t xml:space="preserve"> 16 ország</w:t>
      </w:r>
      <w:r>
        <w:rPr>
          <w:lang w:val="hu"/>
        </w:rPr>
        <w:t xml:space="preserve"> közül</w:t>
      </w:r>
      <w:r w:rsidR="00ED1ED5">
        <w:rPr>
          <w:lang w:val="hu"/>
        </w:rPr>
        <w:t xml:space="preserve"> négyben gyűjtöttek be adatot arról (Franciaország, Finnország, Hollandia és az Egyesült Királyság), </w:t>
      </w:r>
      <w:r>
        <w:rPr>
          <w:lang w:val="hu"/>
        </w:rPr>
        <w:t>hogy</w:t>
      </w:r>
      <w:r w:rsidR="00ED1ED5">
        <w:rPr>
          <w:lang w:val="hu"/>
        </w:rPr>
        <w:t xml:space="preserve"> a személyzetáthelyezés nemzeti jogszabályok vagy ágazati kollektív szerződés (Finnország) alapján történ</w:t>
      </w:r>
      <w:r>
        <w:rPr>
          <w:lang w:val="hu"/>
        </w:rPr>
        <w:t>t</w:t>
      </w:r>
      <w:r w:rsidR="00ED1ED5">
        <w:rPr>
          <w:lang w:val="hu"/>
        </w:rPr>
        <w:t xml:space="preserve"> versenytárgyalás utáni szolgáltatóváltás esetén.</w:t>
      </w:r>
      <w:r w:rsidR="00C43440">
        <w:rPr>
          <w:lang w:val="hu"/>
        </w:rPr>
        <w:t xml:space="preserve"> </w:t>
      </w:r>
      <w:r w:rsidR="00ED1ED5">
        <w:rPr>
          <w:lang w:val="hu"/>
        </w:rPr>
        <w:t>Hét országban (Ausztria, Dánia, Cseh Köztársaság, Magyarország, Szlovénia, Svédország és Bulgária) jelle</w:t>
      </w:r>
      <w:r w:rsidR="00C43440">
        <w:rPr>
          <w:lang w:val="hu"/>
        </w:rPr>
        <w:t>mzően</w:t>
      </w:r>
      <w:r w:rsidR="00ED1ED5">
        <w:rPr>
          <w:lang w:val="hu"/>
        </w:rPr>
        <w:t xml:space="preserve"> nincs az üzemeltető változásának betudható személyzetáthelyezés</w:t>
      </w:r>
      <w:r w:rsidR="00C43440">
        <w:rPr>
          <w:lang w:val="hu"/>
        </w:rPr>
        <w:t>,</w:t>
      </w:r>
      <w:r w:rsidR="00ED1ED5">
        <w:rPr>
          <w:lang w:val="hu"/>
        </w:rPr>
        <w:t xml:space="preserve"> mivel a legtöbb esetben a szolgáltatóváltás a 2001/23/EK irányelv nemzeti jogszabályba specifikusan átültetetett rendelkezései alapján nem minősül a vállalkozás átruházásának (bár előfordulhat a közbeszerzési eljárás adott tartalmától függően – különösképp ha az eszköz</w:t>
      </w:r>
      <w:r w:rsidR="00C43440">
        <w:rPr>
          <w:lang w:val="hu"/>
        </w:rPr>
        <w:t>öket</w:t>
      </w:r>
      <w:r w:rsidR="00ED1ED5">
        <w:rPr>
          <w:lang w:val="hu"/>
        </w:rPr>
        <w:t xml:space="preserve"> is átruház</w:t>
      </w:r>
      <w:r w:rsidR="00C43440">
        <w:rPr>
          <w:lang w:val="hu"/>
        </w:rPr>
        <w:t>zák</w:t>
      </w:r>
      <w:r w:rsidR="00ED1ED5">
        <w:rPr>
          <w:lang w:val="hu"/>
        </w:rPr>
        <w:t>, amelyre gyakori példa Dánia)</w:t>
      </w:r>
      <w:r w:rsidR="00C43440">
        <w:rPr>
          <w:lang w:val="hu"/>
        </w:rPr>
        <w:t>,</w:t>
      </w:r>
      <w:r w:rsidR="00241C30">
        <w:rPr>
          <w:lang w:val="hu"/>
        </w:rPr>
        <w:t xml:space="preserve"> </w:t>
      </w:r>
      <w:r w:rsidR="00ED1ED5">
        <w:rPr>
          <w:lang w:val="hu"/>
        </w:rPr>
        <w:t xml:space="preserve">és más nemzeti jogszabály nem rendelkezik a helyzetről. Olaszország esetében, a helyzet tisztázatlan. </w:t>
      </w:r>
    </w:p>
    <w:p w:rsidR="00ED1ED5" w:rsidRPr="00867C47" w:rsidRDefault="00ED1ED5" w:rsidP="00461953">
      <w:pPr>
        <w:pStyle w:val="Textkrper"/>
        <w:ind w:left="0"/>
        <w:jc w:val="both"/>
        <w:rPr>
          <w:lang w:val="hu"/>
        </w:rPr>
      </w:pPr>
      <w:r>
        <w:rPr>
          <w:lang w:val="hu"/>
        </w:rPr>
        <w:t>Ritka az olyan példa, amikor az illetékes hatóságok az 1370/2007-es rendeletre</w:t>
      </w:r>
      <w:r w:rsidR="00C43440">
        <w:rPr>
          <w:lang w:val="hu"/>
        </w:rPr>
        <w:t xml:space="preserve"> hivatkoztak</w:t>
      </w:r>
      <w:r>
        <w:rPr>
          <w:lang w:val="hu"/>
        </w:rPr>
        <w:t xml:space="preserve"> (pl. Németország, esetleg Svédország és Olaszország). Figyelembe véve azt, hogy mindeddig csak nagyon kevés példa létezik országo</w:t>
      </w:r>
      <w:r w:rsidR="004E3AAF">
        <w:rPr>
          <w:lang w:val="hu"/>
        </w:rPr>
        <w:t>n</w:t>
      </w:r>
      <w:r>
        <w:rPr>
          <w:lang w:val="hu"/>
        </w:rPr>
        <w:t>ként a versenytárgyalási eljárás során nem kötelező érvényű személyzetáthelyezésről</w:t>
      </w:r>
      <w:r w:rsidR="004E3AAF">
        <w:rPr>
          <w:lang w:val="hu"/>
        </w:rPr>
        <w:t>.</w:t>
      </w:r>
      <w:r>
        <w:rPr>
          <w:lang w:val="hu"/>
        </w:rPr>
        <w:t xml:space="preserve"> </w:t>
      </w:r>
      <w:r w:rsidR="004E3AAF">
        <w:rPr>
          <w:lang w:val="hu"/>
        </w:rPr>
        <w:t>A</w:t>
      </w:r>
      <w:r>
        <w:rPr>
          <w:lang w:val="hu"/>
        </w:rPr>
        <w:t xml:space="preserve">z interjúkon elhangzott, hogy ezzel a lehetőséggel élni jogilag bonyolult és nehezen kivitelezhető, maguk a közhatóságok is vonakodnak használni. </w:t>
      </w:r>
    </w:p>
    <w:p w:rsidR="00ED1ED5" w:rsidRPr="00867C47" w:rsidRDefault="00ED1ED5" w:rsidP="00461953">
      <w:pPr>
        <w:pStyle w:val="Textkrper"/>
        <w:ind w:left="0"/>
        <w:jc w:val="both"/>
        <w:rPr>
          <w:lang w:val="hu"/>
        </w:rPr>
      </w:pPr>
      <w:r>
        <w:rPr>
          <w:lang w:val="hu"/>
        </w:rPr>
        <w:t xml:space="preserve">Németországban számos tartományi hatóság nyújt jogi segítséget az eljárások során. </w:t>
      </w:r>
      <w:r w:rsidR="004E3AAF">
        <w:rPr>
          <w:lang w:val="hu"/>
        </w:rPr>
        <w:t>Egy</w:t>
      </w:r>
      <w:r>
        <w:rPr>
          <w:lang w:val="hu"/>
        </w:rPr>
        <w:t xml:space="preserve"> új </w:t>
      </w:r>
      <w:r w:rsidR="004E3AAF">
        <w:rPr>
          <w:lang w:val="hu"/>
        </w:rPr>
        <w:t>jogszabály</w:t>
      </w:r>
      <w:r>
        <w:rPr>
          <w:lang w:val="hu"/>
        </w:rPr>
        <w:t xml:space="preserve">, amely </w:t>
      </w:r>
      <w:r w:rsidR="004E3AAF">
        <w:rPr>
          <w:lang w:val="hu"/>
        </w:rPr>
        <w:t xml:space="preserve">kizárólag </w:t>
      </w:r>
      <w:r>
        <w:rPr>
          <w:lang w:val="hu"/>
        </w:rPr>
        <w:t>a vasúti ágazat</w:t>
      </w:r>
      <w:r w:rsidR="004E3AAF">
        <w:rPr>
          <w:lang w:val="hu"/>
        </w:rPr>
        <w:t>ra alkalmazandó</w:t>
      </w:r>
      <w:r>
        <w:rPr>
          <w:lang w:val="hu"/>
        </w:rPr>
        <w:t xml:space="preserve">, nemrégiben vezetett be egy </w:t>
      </w:r>
      <w:r w:rsidR="004E3AAF">
        <w:rPr>
          <w:lang w:val="hu"/>
        </w:rPr>
        <w:t>kötelező érvényű</w:t>
      </w:r>
      <w:r>
        <w:rPr>
          <w:lang w:val="hu"/>
        </w:rPr>
        <w:t xml:space="preserve"> </w:t>
      </w:r>
      <w:r w:rsidR="004E3AAF">
        <w:rPr>
          <w:lang w:val="hu"/>
        </w:rPr>
        <w:t>előírást</w:t>
      </w:r>
      <w:r>
        <w:rPr>
          <w:lang w:val="hu"/>
        </w:rPr>
        <w:t xml:space="preserve"> a személyzetáthelyezés vonatkozásában. Az a</w:t>
      </w:r>
      <w:r w:rsidR="00295164">
        <w:rPr>
          <w:lang w:val="hu"/>
        </w:rPr>
        <w:t xml:space="preserve"> lehetőség</w:t>
      </w:r>
      <w:r>
        <w:rPr>
          <w:lang w:val="hu"/>
        </w:rPr>
        <w:t xml:space="preserve">, hogy kötelező érvényűvé váljék minden városi tömegközlekedési szolgáltatás számára (noha ez volt az eredeti javaslat) szövetségi szinten nem került elfogadásra, viszont Rajna-vidék-Pfalz </w:t>
      </w:r>
      <w:r w:rsidR="0021794D">
        <w:rPr>
          <w:lang w:val="hu"/>
        </w:rPr>
        <w:t xml:space="preserve">tartomány </w:t>
      </w:r>
      <w:r>
        <w:rPr>
          <w:lang w:val="hu"/>
        </w:rPr>
        <w:t xml:space="preserve">regionális jogszabályába bekerül.  </w:t>
      </w:r>
    </w:p>
    <w:p w:rsidR="00ED1ED5" w:rsidRPr="00867C47" w:rsidRDefault="00ED1ED5" w:rsidP="00461953">
      <w:pPr>
        <w:pStyle w:val="Textkrper"/>
        <w:ind w:left="0"/>
        <w:jc w:val="both"/>
        <w:rPr>
          <w:lang w:val="hu"/>
        </w:rPr>
      </w:pPr>
      <w:r>
        <w:rPr>
          <w:lang w:val="hu"/>
        </w:rPr>
        <w:t xml:space="preserve">Belgiumban és Lettországban a helyzet továbbra is tisztázatlan, de mivel gyakorlatilag csak közvetlenül odaítélt eljárások élnek, a kérdés jelenleg tárgytalan. Ez az ír autóbusz-szolgáltatásokra is igaz. Mivel ez a jövőben megváltozhat, a munkavállalók a kormánnyal </w:t>
      </w:r>
      <w:r w:rsidR="0021794D">
        <w:rPr>
          <w:lang w:val="hu"/>
        </w:rPr>
        <w:t>szerettek volna</w:t>
      </w:r>
      <w:r>
        <w:rPr>
          <w:lang w:val="hu"/>
        </w:rPr>
        <w:t xml:space="preserve"> tárgyalni</w:t>
      </w:r>
      <w:r w:rsidR="0021794D">
        <w:rPr>
          <w:lang w:val="hu"/>
        </w:rPr>
        <w:t xml:space="preserve"> arról</w:t>
      </w:r>
      <w:r>
        <w:rPr>
          <w:lang w:val="hu"/>
        </w:rPr>
        <w:t xml:space="preserve">, hogy a személyzetáthelyezés önkéntes alapúvá váljék az érintett munkavállalók számára és fennálljon az eredeti munkaadónál maradás lehetősége. Ezzel a munkavállalók választhatnának a között, hogy </w:t>
      </w:r>
      <w:r w:rsidR="0021794D">
        <w:rPr>
          <w:lang w:val="hu"/>
        </w:rPr>
        <w:t>az áthelyezést választják</w:t>
      </w:r>
      <w:r w:rsidR="004265A6">
        <w:rPr>
          <w:lang w:val="hu"/>
        </w:rPr>
        <w:t>-e</w:t>
      </w:r>
      <w:r w:rsidR="0021794D">
        <w:rPr>
          <w:lang w:val="hu"/>
        </w:rPr>
        <w:t>,</w:t>
      </w:r>
      <w:r>
        <w:rPr>
          <w:lang w:val="hu"/>
        </w:rPr>
        <w:t xml:space="preserve"> </w:t>
      </w:r>
      <w:r w:rsidR="0021794D">
        <w:rPr>
          <w:lang w:val="hu"/>
        </w:rPr>
        <w:t xml:space="preserve">de </w:t>
      </w:r>
      <w:r>
        <w:rPr>
          <w:lang w:val="hu"/>
        </w:rPr>
        <w:t>a versenyeztetés</w:t>
      </w:r>
      <w:r w:rsidR="0021794D">
        <w:rPr>
          <w:lang w:val="hu"/>
        </w:rPr>
        <w:t xml:space="preserve"> továbbra is kis szerephez jut,</w:t>
      </w:r>
      <w:r>
        <w:rPr>
          <w:lang w:val="hu"/>
        </w:rPr>
        <w:t xml:space="preserve"> abban az esetben, ha megvalósulnak az ír projektek (a dublini autóbusz-szolgáltatások 10%-ára</w:t>
      </w:r>
      <w:r w:rsidR="0021794D">
        <w:rPr>
          <w:lang w:val="hu"/>
        </w:rPr>
        <w:t xml:space="preserve"> terveznek pályázatot kiírni</w:t>
      </w:r>
      <w:r>
        <w:rPr>
          <w:lang w:val="hu"/>
        </w:rPr>
        <w:t>). Úgy tűnik azokban az országokban, ahol a szolgáltatóváltás nem feltétlenül jelent vállalatátruházást</w:t>
      </w:r>
      <w:r w:rsidR="003309B6">
        <w:rPr>
          <w:lang w:val="hu"/>
        </w:rPr>
        <w:t>,</w:t>
      </w:r>
      <w:r>
        <w:rPr>
          <w:lang w:val="hu"/>
        </w:rPr>
        <w:t xml:space="preserve"> és nem </w:t>
      </w:r>
      <w:r w:rsidR="003309B6">
        <w:rPr>
          <w:lang w:val="hu"/>
        </w:rPr>
        <w:t xml:space="preserve">jelenti </w:t>
      </w:r>
      <w:r>
        <w:rPr>
          <w:lang w:val="hu"/>
        </w:rPr>
        <w:t>automatikusan a személyzet áthelyezés</w:t>
      </w:r>
      <w:r w:rsidR="003309B6">
        <w:rPr>
          <w:lang w:val="hu"/>
        </w:rPr>
        <w:t>ét</w:t>
      </w:r>
      <w:r>
        <w:rPr>
          <w:lang w:val="hu"/>
        </w:rPr>
        <w:t xml:space="preserve">, a rendelet jogi </w:t>
      </w:r>
      <w:r w:rsidR="003309B6">
        <w:rPr>
          <w:lang w:val="hu"/>
        </w:rPr>
        <w:t>útmutatást</w:t>
      </w:r>
      <w:r>
        <w:rPr>
          <w:lang w:val="hu"/>
        </w:rPr>
        <w:t xml:space="preserve"> és átláthatóságot teremtett. Franciaországban és az Egyesült Királyságban, a szolgáltatóváltást a vállalkozás átruházásának tekintik (szolgáltatás</w:t>
      </w:r>
      <w:r w:rsidR="00FC0A7D">
        <w:rPr>
          <w:lang w:val="hu"/>
        </w:rPr>
        <w:t>-</w:t>
      </w:r>
      <w:r>
        <w:rPr>
          <w:lang w:val="hu"/>
        </w:rPr>
        <w:t>átruházás) minden esetben</w:t>
      </w:r>
      <w:r w:rsidR="003309B6">
        <w:rPr>
          <w:lang w:val="hu"/>
        </w:rPr>
        <w:t>,</w:t>
      </w:r>
      <w:r>
        <w:rPr>
          <w:lang w:val="hu"/>
        </w:rPr>
        <w:t xml:space="preserve"> és a személyzetáthelyezés a nemzeti jogszabályoknak megfelelően megy végbe.   </w:t>
      </w:r>
    </w:p>
    <w:p w:rsidR="00ED1ED5" w:rsidRPr="00867C47" w:rsidRDefault="00ED1ED5" w:rsidP="00461953">
      <w:pPr>
        <w:pStyle w:val="Textkrper"/>
        <w:ind w:left="0"/>
        <w:jc w:val="both"/>
        <w:rPr>
          <w:lang w:val="hu"/>
        </w:rPr>
      </w:pPr>
      <w:r>
        <w:rPr>
          <w:lang w:val="hu"/>
        </w:rPr>
        <w:t xml:space="preserve">Hollandiában a személyzet áthelyezése kötelező a városi tömegközlekedés közbeszerzési eljárásait </w:t>
      </w:r>
      <w:r w:rsidR="00A828F0">
        <w:rPr>
          <w:lang w:val="hu"/>
        </w:rPr>
        <w:t xml:space="preserve">szabályozó </w:t>
      </w:r>
      <w:r>
        <w:rPr>
          <w:lang w:val="hu"/>
        </w:rPr>
        <w:t xml:space="preserve">nemzeti törvénykezés értelmében. </w:t>
      </w:r>
    </w:p>
    <w:p w:rsidR="00ED1ED5" w:rsidRPr="00867C47" w:rsidRDefault="00ED1ED5" w:rsidP="00461953">
      <w:pPr>
        <w:pStyle w:val="Textkrper"/>
        <w:ind w:left="0"/>
        <w:jc w:val="both"/>
        <w:rPr>
          <w:lang w:val="hu"/>
        </w:rPr>
      </w:pPr>
      <w:r>
        <w:rPr>
          <w:lang w:val="hu"/>
        </w:rPr>
        <w:t>Míg Finnországban a személyzet áthelyezése nem minősül a személyzet</w:t>
      </w:r>
      <w:r w:rsidR="00A828F0">
        <w:rPr>
          <w:lang w:val="hu"/>
        </w:rPr>
        <w:t xml:space="preserve"> </w:t>
      </w:r>
      <w:r>
        <w:rPr>
          <w:lang w:val="hu"/>
        </w:rPr>
        <w:t>átvételre kötelező vállalkozás</w:t>
      </w:r>
      <w:r w:rsidR="00FC0A7D">
        <w:rPr>
          <w:lang w:val="hu"/>
        </w:rPr>
        <w:t>-</w:t>
      </w:r>
      <w:r>
        <w:rPr>
          <w:lang w:val="hu"/>
        </w:rPr>
        <w:t>átruházásnak, ugyanakkor létezik általánosan alkalmazandó ágazati kollektív szerződés</w:t>
      </w:r>
      <w:r w:rsidR="00A828F0">
        <w:rPr>
          <w:lang w:val="hu"/>
        </w:rPr>
        <w:t>, amely előírja</w:t>
      </w:r>
      <w:r>
        <w:rPr>
          <w:lang w:val="hu"/>
        </w:rPr>
        <w:t xml:space="preserve"> a kötelező személyzetáthelyezés</w:t>
      </w:r>
      <w:r w:rsidR="00A828F0">
        <w:rPr>
          <w:lang w:val="hu"/>
        </w:rPr>
        <w:t>t</w:t>
      </w:r>
      <w:r>
        <w:rPr>
          <w:lang w:val="hu"/>
        </w:rPr>
        <w:t xml:space="preserve"> versenytárgyalás utáni szolgáltatóváltás esetén. </w:t>
      </w:r>
    </w:p>
    <w:p w:rsidR="00ED1ED5" w:rsidRDefault="00ED1ED5" w:rsidP="00461953">
      <w:pPr>
        <w:pStyle w:val="berschrift3"/>
        <w:numPr>
          <w:ilvl w:val="0"/>
          <w:numId w:val="37"/>
        </w:numPr>
        <w:jc w:val="both"/>
      </w:pPr>
      <w:r>
        <w:rPr>
          <w:lang w:val="hu"/>
        </w:rPr>
        <w:t>Konklúziók</w:t>
      </w:r>
    </w:p>
    <w:p w:rsidR="00ED1ED5" w:rsidRPr="00867C47" w:rsidRDefault="00ED1ED5" w:rsidP="00461953">
      <w:pPr>
        <w:pStyle w:val="Textkrper"/>
        <w:ind w:left="0"/>
        <w:jc w:val="both"/>
        <w:rPr>
          <w:lang w:val="hu"/>
        </w:rPr>
      </w:pPr>
      <w:r>
        <w:rPr>
          <w:lang w:val="hu"/>
        </w:rPr>
        <w:t>A városi tömegközlekedés piaci szerveződésének értékelése az Európai Unióban összetett képet nyújt</w:t>
      </w:r>
      <w:r w:rsidR="00624BE1">
        <w:rPr>
          <w:lang w:val="hu"/>
        </w:rPr>
        <w:t xml:space="preserve">. Egyes országokban </w:t>
      </w:r>
      <w:r w:rsidR="007E29C0">
        <w:rPr>
          <w:lang w:val="hu"/>
        </w:rPr>
        <w:t xml:space="preserve">és városokban </w:t>
      </w:r>
      <w:r>
        <w:rPr>
          <w:lang w:val="hu"/>
        </w:rPr>
        <w:t>a szolgáltatók jelleg</w:t>
      </w:r>
      <w:r w:rsidR="00624BE1">
        <w:rPr>
          <w:lang w:val="hu"/>
        </w:rPr>
        <w:t>e</w:t>
      </w:r>
      <w:r>
        <w:rPr>
          <w:lang w:val="hu"/>
        </w:rPr>
        <w:t xml:space="preserve"> viszonylag st</w:t>
      </w:r>
      <w:r w:rsidR="00624BE1">
        <w:rPr>
          <w:lang w:val="hu"/>
        </w:rPr>
        <w:t>abil,</w:t>
      </w:r>
      <w:r>
        <w:rPr>
          <w:lang w:val="hu"/>
        </w:rPr>
        <w:t xml:space="preserve"> </w:t>
      </w:r>
      <w:r w:rsidR="007E29C0">
        <w:rPr>
          <w:lang w:val="hu"/>
        </w:rPr>
        <w:t xml:space="preserve">míg máshol </w:t>
      </w:r>
      <w:r>
        <w:rPr>
          <w:lang w:val="hu"/>
        </w:rPr>
        <w:t xml:space="preserve">jelentős </w:t>
      </w:r>
      <w:r w:rsidR="007E29C0">
        <w:rPr>
          <w:lang w:val="hu"/>
        </w:rPr>
        <w:t>változások tapasztalhatók</w:t>
      </w:r>
      <w:r>
        <w:rPr>
          <w:lang w:val="hu"/>
        </w:rPr>
        <w:t xml:space="preserve"> a növekvő számú új szolgáltatók piacra lépésével, beleértve a nagy nemzetközi cégeket, melyek általában nemzeti (köz)szolgáltatók</w:t>
      </w:r>
      <w:r w:rsidR="007E29C0">
        <w:rPr>
          <w:lang w:val="hu"/>
        </w:rPr>
        <w:t>kal állnak kapcsolatban,</w:t>
      </w:r>
      <w:r>
        <w:rPr>
          <w:lang w:val="hu"/>
        </w:rPr>
        <w:t xml:space="preserve"> vagy nemzeti szolgáltatók </w:t>
      </w:r>
      <w:r w:rsidR="007E29C0">
        <w:rPr>
          <w:lang w:val="hu"/>
        </w:rPr>
        <w:t>vásárolták fel őket</w:t>
      </w:r>
      <w:r>
        <w:rPr>
          <w:lang w:val="hu"/>
        </w:rPr>
        <w:t>.</w:t>
      </w:r>
    </w:p>
    <w:p w:rsidR="00ED1ED5" w:rsidRPr="00867C47" w:rsidRDefault="00ED1ED5" w:rsidP="00461953">
      <w:pPr>
        <w:pStyle w:val="Textkrper"/>
        <w:ind w:left="0"/>
        <w:jc w:val="both"/>
        <w:rPr>
          <w:lang w:val="hu"/>
        </w:rPr>
      </w:pPr>
      <w:r>
        <w:rPr>
          <w:lang w:val="hu"/>
        </w:rPr>
        <w:t xml:space="preserve">Gazdasági, politikai szabályozási tényezők vezettek a versenytárgyalási eljárás fokozottabb </w:t>
      </w:r>
      <w:r w:rsidR="00F94237">
        <w:rPr>
          <w:lang w:val="hu"/>
        </w:rPr>
        <w:t xml:space="preserve">alkalmazásának </w:t>
      </w:r>
      <w:r>
        <w:rPr>
          <w:lang w:val="hu"/>
        </w:rPr>
        <w:t>gyakorlatához a költséghatékonyabb, környezetbarát és hatékonyabb szolgáltatás érdekében. Ezen célok megvalósulás</w:t>
      </w:r>
      <w:r w:rsidR="00F94237">
        <w:rPr>
          <w:lang w:val="hu"/>
        </w:rPr>
        <w:t>ának elemzése</w:t>
      </w:r>
      <w:r>
        <w:rPr>
          <w:lang w:val="hu"/>
        </w:rPr>
        <w:t xml:space="preserve"> nem képezte a tanulmány tárgyát.</w:t>
      </w:r>
      <w:r w:rsidR="007E29C0">
        <w:rPr>
          <w:lang w:val="hu"/>
        </w:rPr>
        <w:t xml:space="preserve"> </w:t>
      </w:r>
      <w:r w:rsidR="00F94237">
        <w:rPr>
          <w:lang w:val="hu"/>
        </w:rPr>
        <w:t>Egyes esetekben ö</w:t>
      </w:r>
      <w:r w:rsidR="00F94237" w:rsidRPr="005A75CC">
        <w:rPr>
          <w:lang w:val="hu"/>
        </w:rPr>
        <w:t>nkormányzati tulajdon</w:t>
      </w:r>
      <w:r w:rsidR="00AF1DBE">
        <w:rPr>
          <w:lang w:val="hu"/>
        </w:rPr>
        <w:t>ba kerülés volt megfigyelhető</w:t>
      </w:r>
      <w:r>
        <w:rPr>
          <w:lang w:val="hu"/>
        </w:rPr>
        <w:t xml:space="preserve"> Franciaországban.</w:t>
      </w:r>
    </w:p>
    <w:p w:rsidR="00ED1ED5" w:rsidRPr="00867C47" w:rsidRDefault="00ED1ED5" w:rsidP="00461953">
      <w:pPr>
        <w:pStyle w:val="Textkrper"/>
        <w:ind w:left="0"/>
        <w:jc w:val="both"/>
        <w:rPr>
          <w:lang w:val="hu"/>
        </w:rPr>
      </w:pPr>
      <w:r>
        <w:rPr>
          <w:lang w:val="hu"/>
        </w:rPr>
        <w:t>Ugyan az 1370/2007-es</w:t>
      </w:r>
      <w:r w:rsidR="008328EE">
        <w:rPr>
          <w:lang w:val="hu"/>
        </w:rPr>
        <w:t>,</w:t>
      </w:r>
      <w:r>
        <w:rPr>
          <w:lang w:val="hu"/>
        </w:rPr>
        <w:t xml:space="preserve"> a közszolgáltatási kötelezettségekről szóló közbeszerzési eljárásokra vonatkozó rendelet nem írja elő a versenytárgyalási eljárást, </w:t>
      </w:r>
      <w:r w:rsidR="005255A3">
        <w:rPr>
          <w:lang w:val="hu"/>
        </w:rPr>
        <w:t>ösztönözte azt,</w:t>
      </w:r>
      <w:r>
        <w:rPr>
          <w:lang w:val="hu"/>
        </w:rPr>
        <w:t xml:space="preserve"> és </w:t>
      </w:r>
      <w:r w:rsidR="005255A3">
        <w:rPr>
          <w:lang w:val="hu"/>
        </w:rPr>
        <w:t>hozzájárult</w:t>
      </w:r>
      <w:r>
        <w:rPr>
          <w:lang w:val="hu"/>
        </w:rPr>
        <w:t xml:space="preserve"> az ágazat átszervezésé</w:t>
      </w:r>
      <w:r w:rsidR="0058118F">
        <w:rPr>
          <w:lang w:val="hu"/>
        </w:rPr>
        <w:t>hez</w:t>
      </w:r>
      <w:r>
        <w:rPr>
          <w:lang w:val="hu"/>
        </w:rPr>
        <w:t xml:space="preserve"> számos országban (a fentiekben olvasható egyéb érvek mellett). </w:t>
      </w:r>
    </w:p>
    <w:p w:rsidR="00ED1ED5" w:rsidRPr="00867C47" w:rsidRDefault="00ED1ED5" w:rsidP="00461953">
      <w:pPr>
        <w:pStyle w:val="Textkrper"/>
        <w:ind w:left="0"/>
        <w:jc w:val="both"/>
        <w:rPr>
          <w:lang w:val="hu"/>
        </w:rPr>
      </w:pPr>
      <w:r>
        <w:rPr>
          <w:lang w:val="hu"/>
        </w:rPr>
        <w:t xml:space="preserve">A nemzeti jogszabály és a kollektív szerződések </w:t>
      </w:r>
      <w:r w:rsidR="0058118F">
        <w:rPr>
          <w:lang w:val="hu"/>
        </w:rPr>
        <w:t>előírásain</w:t>
      </w:r>
      <w:r>
        <w:rPr>
          <w:lang w:val="hu"/>
        </w:rPr>
        <w:t xml:space="preserve"> </w:t>
      </w:r>
      <w:r w:rsidR="0058118F">
        <w:rPr>
          <w:lang w:val="hu"/>
        </w:rPr>
        <w:t>kívül</w:t>
      </w:r>
      <w:r>
        <w:rPr>
          <w:lang w:val="hu"/>
        </w:rPr>
        <w:t>, a közszolgáltatási kötelezettségekről szóló közbeszerzési eljárásokra vonatkozó rendelet magába foglalja a szociális feltételek kiaknázásának lehetőségét pályázati eljárások során</w:t>
      </w:r>
      <w:r w:rsidR="00253082">
        <w:rPr>
          <w:lang w:val="hu"/>
        </w:rPr>
        <w:t>,</w:t>
      </w:r>
      <w:r>
        <w:rPr>
          <w:lang w:val="hu"/>
        </w:rPr>
        <w:t xml:space="preserve"> bár nem kötelező érvénnyel.</w:t>
      </w:r>
    </w:p>
    <w:p w:rsidR="00ED1ED5" w:rsidRPr="00867C47" w:rsidRDefault="00ED1ED5" w:rsidP="00461953">
      <w:pPr>
        <w:pStyle w:val="Textkrper"/>
        <w:ind w:left="0"/>
        <w:jc w:val="both"/>
        <w:rPr>
          <w:lang w:val="hu"/>
        </w:rPr>
      </w:pPr>
      <w:r>
        <w:rPr>
          <w:lang w:val="hu"/>
        </w:rPr>
        <w:t xml:space="preserve">Ez a tanulmány képet ad arról, </w:t>
      </w:r>
      <w:r w:rsidR="00253082">
        <w:rPr>
          <w:lang w:val="hu"/>
        </w:rPr>
        <w:t xml:space="preserve">hogy ennek következtében </w:t>
      </w:r>
      <w:r>
        <w:rPr>
          <w:lang w:val="hu"/>
        </w:rPr>
        <w:t>az illetékes hatóságok a szociális feltételek</w:t>
      </w:r>
      <w:r w:rsidR="00253082">
        <w:rPr>
          <w:lang w:val="hu"/>
        </w:rPr>
        <w:t>et</w:t>
      </w:r>
      <w:r>
        <w:rPr>
          <w:lang w:val="hu"/>
        </w:rPr>
        <w:t xml:space="preserve"> és a személyzetáthelyezési </w:t>
      </w:r>
      <w:r w:rsidR="00253082">
        <w:rPr>
          <w:lang w:val="hu"/>
        </w:rPr>
        <w:t>előírást</w:t>
      </w:r>
      <w:r>
        <w:rPr>
          <w:lang w:val="hu"/>
        </w:rPr>
        <w:t xml:space="preserve"> (kizárólag a PSO rendeletre hagyatkozva) korlátozott</w:t>
      </w:r>
      <w:r w:rsidR="00253082">
        <w:rPr>
          <w:lang w:val="hu"/>
        </w:rPr>
        <w:t xml:space="preserve"> mértékben alkalmazzák</w:t>
      </w:r>
      <w:r>
        <w:rPr>
          <w:lang w:val="hu"/>
        </w:rPr>
        <w:t>.</w:t>
      </w:r>
    </w:p>
    <w:p w:rsidR="00ED1ED5" w:rsidRPr="00867C47" w:rsidRDefault="00ED1ED5" w:rsidP="00461953">
      <w:pPr>
        <w:pStyle w:val="Textkrper"/>
        <w:ind w:left="0"/>
        <w:jc w:val="both"/>
        <w:rPr>
          <w:lang w:val="hu"/>
        </w:rPr>
      </w:pPr>
      <w:r>
        <w:rPr>
          <w:lang w:val="hu"/>
        </w:rPr>
        <w:t xml:space="preserve">Ez azt jelenti, hogy azokban az országokban, ahol jelenleg nincs egyetemesen alkalmazható ágazati kollektív szerződés (meghatározva a jogszabály által </w:t>
      </w:r>
      <w:r w:rsidR="000E09FD">
        <w:rPr>
          <w:lang w:val="hu"/>
        </w:rPr>
        <w:t>lefektetett</w:t>
      </w:r>
      <w:r>
        <w:rPr>
          <w:lang w:val="hu"/>
        </w:rPr>
        <w:t xml:space="preserve"> minimumkövetelmények</w:t>
      </w:r>
      <w:r w:rsidR="000E09FD">
        <w:rPr>
          <w:lang w:val="hu"/>
        </w:rPr>
        <w:t xml:space="preserve"> feletti előírásokat</w:t>
      </w:r>
      <w:r>
        <w:rPr>
          <w:lang w:val="hu"/>
        </w:rPr>
        <w:t>) vagy olyan ágazati kollektív szerződés</w:t>
      </w:r>
      <w:r w:rsidR="004265A6">
        <w:rPr>
          <w:lang w:val="hu"/>
        </w:rPr>
        <w:t>ek</w:t>
      </w:r>
      <w:r>
        <w:rPr>
          <w:lang w:val="hu"/>
        </w:rPr>
        <w:t>, amely</w:t>
      </w:r>
      <w:r w:rsidR="004265A6">
        <w:rPr>
          <w:lang w:val="hu"/>
        </w:rPr>
        <w:t>ek</w:t>
      </w:r>
      <w:r>
        <w:rPr>
          <w:lang w:val="hu"/>
        </w:rPr>
        <w:t xml:space="preserve"> az ágazatban </w:t>
      </w:r>
      <w:r w:rsidR="000E09FD">
        <w:rPr>
          <w:lang w:val="hu"/>
        </w:rPr>
        <w:t>a cégek többségére kötelező érvényű</w:t>
      </w:r>
      <w:r w:rsidR="004265A6">
        <w:rPr>
          <w:lang w:val="hu"/>
        </w:rPr>
        <w:t>ek</w:t>
      </w:r>
      <w:r w:rsidR="000E09FD">
        <w:rPr>
          <w:lang w:val="hu"/>
        </w:rPr>
        <w:t xml:space="preserve"> lenne, </w:t>
      </w:r>
      <w:r>
        <w:rPr>
          <w:lang w:val="hu"/>
        </w:rPr>
        <w:t xml:space="preserve">vagy bármilyen más, kötelező érvényű </w:t>
      </w:r>
      <w:r w:rsidR="000E09FD">
        <w:rPr>
          <w:lang w:val="hu"/>
        </w:rPr>
        <w:t>lehetőség</w:t>
      </w:r>
      <w:r>
        <w:rPr>
          <w:lang w:val="hu"/>
        </w:rPr>
        <w:t xml:space="preserve"> </w:t>
      </w:r>
      <w:r w:rsidR="000E09FD">
        <w:rPr>
          <w:lang w:val="hu"/>
        </w:rPr>
        <w:t xml:space="preserve">a </w:t>
      </w:r>
      <w:r>
        <w:rPr>
          <w:lang w:val="hu"/>
        </w:rPr>
        <w:t>feltételek biztosítására a közszolgáltatási szerződések lejártakor (pl. kötelező</w:t>
      </w:r>
      <w:r w:rsidR="000E09FD">
        <w:rPr>
          <w:lang w:val="hu"/>
        </w:rPr>
        <w:t xml:space="preserve"> jellegű</w:t>
      </w:r>
      <w:r>
        <w:rPr>
          <w:lang w:val="hu"/>
        </w:rPr>
        <w:t xml:space="preserve"> személyzetáthelyezés)</w:t>
      </w:r>
      <w:r w:rsidR="004265A6">
        <w:rPr>
          <w:lang w:val="hu"/>
        </w:rPr>
        <w:t>,</w:t>
      </w:r>
      <w:r>
        <w:rPr>
          <w:lang w:val="hu"/>
        </w:rPr>
        <w:t xml:space="preserve"> </w:t>
      </w:r>
      <w:r w:rsidR="004265A6">
        <w:rPr>
          <w:lang w:val="hu"/>
        </w:rPr>
        <w:t>n</w:t>
      </w:r>
      <w:r>
        <w:rPr>
          <w:lang w:val="hu"/>
        </w:rPr>
        <w:t xml:space="preserve">incs foglalkoztatási garancia, sem jogi védelem a feltételek </w:t>
      </w:r>
      <w:r w:rsidR="000E09FD">
        <w:rPr>
          <w:lang w:val="hu"/>
        </w:rPr>
        <w:t>védelmére</w:t>
      </w:r>
      <w:r>
        <w:rPr>
          <w:lang w:val="hu"/>
        </w:rPr>
        <w:t xml:space="preserve"> szolgáltatóváltás esetén. Ez azokat az országokat is érinti, ahol a vállalati szintű megállapodások jelentősen javítják az általános feltételeket. </w:t>
      </w:r>
    </w:p>
    <w:p w:rsidR="00ED1ED5" w:rsidRPr="00867C47" w:rsidRDefault="00ED1ED5" w:rsidP="00461953">
      <w:pPr>
        <w:pStyle w:val="Textkrper"/>
        <w:ind w:left="0"/>
        <w:jc w:val="both"/>
        <w:rPr>
          <w:lang w:val="hu"/>
        </w:rPr>
      </w:pPr>
      <w:r>
        <w:rPr>
          <w:lang w:val="hu"/>
        </w:rPr>
        <w:t>A Németország által alkalmazott megoldás (16 régióból</w:t>
      </w:r>
      <w:r w:rsidR="000E09FD">
        <w:rPr>
          <w:lang w:val="hu"/>
        </w:rPr>
        <w:t xml:space="preserve"> 14-ben</w:t>
      </w:r>
      <w:r>
        <w:rPr>
          <w:lang w:val="hu"/>
        </w:rPr>
        <w:t>), mely képviseleti kollektív szerződésekben határozza meg azt a referenciaértéket, amellyel a béreket a pályázatokban kiszámítják</w:t>
      </w:r>
      <w:r w:rsidR="000E09FD">
        <w:rPr>
          <w:lang w:val="hu"/>
        </w:rPr>
        <w:t>,</w:t>
      </w:r>
      <w:r>
        <w:rPr>
          <w:lang w:val="hu"/>
        </w:rPr>
        <w:t xml:space="preserve"> hasonlóan eredményes lehet, de megjegyzendő, hogy sok esetben az ilyen jellegű képviseleti kollektív szerződések nem a lehető legjobb bérfeltételeket és munkahelyi feltételeket </w:t>
      </w:r>
      <w:r w:rsidR="000E09FD">
        <w:rPr>
          <w:lang w:val="hu"/>
        </w:rPr>
        <w:t>határozzák</w:t>
      </w:r>
      <w:r>
        <w:rPr>
          <w:lang w:val="hu"/>
        </w:rPr>
        <w:t xml:space="preserve"> </w:t>
      </w:r>
      <w:r w:rsidR="000E09FD">
        <w:rPr>
          <w:lang w:val="hu"/>
        </w:rPr>
        <w:t>meg</w:t>
      </w:r>
      <w:r>
        <w:rPr>
          <w:lang w:val="hu"/>
        </w:rPr>
        <w:t xml:space="preserve">. Ezenfelül, a 14 közül csak egy tartomány döntött nemrégiben úgy, hogy kötelező érvényűvé emeli a személyzetáthelyezést a regionális jogszabályozásban.   </w:t>
      </w:r>
    </w:p>
    <w:p w:rsidR="00ED1ED5" w:rsidRPr="00867C47" w:rsidRDefault="00ED1ED5" w:rsidP="00461953">
      <w:pPr>
        <w:pStyle w:val="Textkrper"/>
        <w:ind w:left="0"/>
        <w:jc w:val="both"/>
        <w:rPr>
          <w:lang w:val="hu"/>
        </w:rPr>
      </w:pPr>
      <w:r>
        <w:rPr>
          <w:lang w:val="hu"/>
        </w:rPr>
        <w:t xml:space="preserve">A tanulmány </w:t>
      </w:r>
      <w:r w:rsidR="000E09FD">
        <w:rPr>
          <w:lang w:val="hu"/>
        </w:rPr>
        <w:t>bemutat</w:t>
      </w:r>
      <w:r>
        <w:rPr>
          <w:lang w:val="hu"/>
        </w:rPr>
        <w:t xml:space="preserve"> néhány példát azokr</w:t>
      </w:r>
      <w:r w:rsidR="008328EE">
        <w:rPr>
          <w:lang w:val="hu"/>
        </w:rPr>
        <w:t>ól</w:t>
      </w:r>
      <w:r>
        <w:rPr>
          <w:lang w:val="hu"/>
        </w:rPr>
        <w:t xml:space="preserve"> a negatív hatásokr</w:t>
      </w:r>
      <w:r w:rsidR="008328EE">
        <w:rPr>
          <w:lang w:val="hu"/>
        </w:rPr>
        <w:t>ól</w:t>
      </w:r>
      <w:r>
        <w:rPr>
          <w:lang w:val="hu"/>
        </w:rPr>
        <w:t xml:space="preserve"> is, amikor a személyzetáthelyezés nem előírás, és a meglévő üzemeltetők küzdenek a személyzet </w:t>
      </w:r>
      <w:r w:rsidR="000E09FD">
        <w:rPr>
          <w:lang w:val="hu"/>
        </w:rPr>
        <w:t>meg</w:t>
      </w:r>
      <w:r>
        <w:rPr>
          <w:lang w:val="hu"/>
        </w:rPr>
        <w:t>tartásával az át</w:t>
      </w:r>
      <w:r w:rsidR="000E09FD">
        <w:rPr>
          <w:lang w:val="hu"/>
        </w:rPr>
        <w:t>helyezés idejéig</w:t>
      </w:r>
      <w:r>
        <w:rPr>
          <w:lang w:val="hu"/>
        </w:rPr>
        <w:t xml:space="preserve">, az új szolgáltatók pedig képtelenek </w:t>
      </w:r>
      <w:r w:rsidR="000E09FD">
        <w:rPr>
          <w:lang w:val="hu"/>
        </w:rPr>
        <w:t>megfelelő személyzetet toboroz</w:t>
      </w:r>
      <w:r>
        <w:rPr>
          <w:lang w:val="hu"/>
        </w:rPr>
        <w:t>ni és megfelelően képezni a szolgáltatás hatékony és gördülékeny átvételéhez.  Előfordul – főképp általános sofőrhiány esetén –</w:t>
      </w:r>
      <w:r w:rsidR="003154F1">
        <w:rPr>
          <w:lang w:val="hu"/>
        </w:rPr>
        <w:t xml:space="preserve"> </w:t>
      </w:r>
      <w:r>
        <w:rPr>
          <w:lang w:val="hu"/>
        </w:rPr>
        <w:t>, hogy a helyzet a szolgáltatás minőségromlásáig fajul</w:t>
      </w:r>
      <w:r w:rsidR="003F5E21">
        <w:rPr>
          <w:lang w:val="hu"/>
        </w:rPr>
        <w:t>,</w:t>
      </w:r>
      <w:r>
        <w:rPr>
          <w:lang w:val="hu"/>
        </w:rPr>
        <w:t xml:space="preserve"> és annak leállásához vezet (legalábbis rövid</w:t>
      </w:r>
      <w:r w:rsidR="00285081">
        <w:rPr>
          <w:lang w:val="hu"/>
        </w:rPr>
        <w:t xml:space="preserve"> </w:t>
      </w:r>
      <w:r>
        <w:rPr>
          <w:lang w:val="hu"/>
        </w:rPr>
        <w:t xml:space="preserve">távon). Másrészt az efféle szolgáltatóváltási helyzetben a dolgozók </w:t>
      </w:r>
      <w:r w:rsidR="003F5E21">
        <w:rPr>
          <w:lang w:val="hu"/>
        </w:rPr>
        <w:t>fokozott</w:t>
      </w:r>
      <w:r>
        <w:rPr>
          <w:lang w:val="hu"/>
        </w:rPr>
        <w:t xml:space="preserve"> stresszhelyzetnek vannak kitéve</w:t>
      </w:r>
      <w:r w:rsidR="003F5E21">
        <w:rPr>
          <w:lang w:val="hu"/>
        </w:rPr>
        <w:t>,</w:t>
      </w:r>
      <w:r>
        <w:rPr>
          <w:lang w:val="hu"/>
        </w:rPr>
        <w:t xml:space="preserve"> nem tudván átveszi-e őket az új üzemeltető és milyen feltételekkel.  </w:t>
      </w:r>
    </w:p>
    <w:p w:rsidR="00ED1ED5" w:rsidRPr="00867C47" w:rsidRDefault="00ED1ED5" w:rsidP="00461953">
      <w:pPr>
        <w:pStyle w:val="Textkrper"/>
        <w:ind w:left="0"/>
        <w:jc w:val="both"/>
        <w:rPr>
          <w:lang w:val="hu"/>
        </w:rPr>
      </w:pPr>
      <w:r>
        <w:rPr>
          <w:lang w:val="hu"/>
        </w:rPr>
        <w:t xml:space="preserve">A tanulmány által </w:t>
      </w:r>
      <w:r w:rsidR="00EE035C">
        <w:rPr>
          <w:lang w:val="hu"/>
        </w:rPr>
        <w:t>össze</w:t>
      </w:r>
      <w:r>
        <w:rPr>
          <w:lang w:val="hu"/>
        </w:rPr>
        <w:t xml:space="preserve">gyűjtött </w:t>
      </w:r>
      <w:r w:rsidR="00EE035C">
        <w:rPr>
          <w:lang w:val="hu"/>
        </w:rPr>
        <w:t xml:space="preserve">érvek </w:t>
      </w:r>
      <w:r>
        <w:rPr>
          <w:lang w:val="hu"/>
        </w:rPr>
        <w:t>nem nyújt</w:t>
      </w:r>
      <w:r w:rsidR="00EE035C">
        <w:rPr>
          <w:lang w:val="hu"/>
        </w:rPr>
        <w:t>anak</w:t>
      </w:r>
      <w:r>
        <w:rPr>
          <w:lang w:val="hu"/>
        </w:rPr>
        <w:t xml:space="preserve"> </w:t>
      </w:r>
      <w:r w:rsidR="00EE035C">
        <w:rPr>
          <w:lang w:val="hu"/>
        </w:rPr>
        <w:t xml:space="preserve">átfogó </w:t>
      </w:r>
      <w:r>
        <w:rPr>
          <w:lang w:val="hu"/>
        </w:rPr>
        <w:t>képet a különböző odaítélési eljárások</w:t>
      </w:r>
      <w:r w:rsidR="00EE035C">
        <w:rPr>
          <w:lang w:val="hu"/>
        </w:rPr>
        <w:t>nak</w:t>
      </w:r>
      <w:r>
        <w:rPr>
          <w:lang w:val="hu"/>
        </w:rPr>
        <w:t xml:space="preserve"> a foglalkoztatási feltételekre és fenntarthatóságukra</w:t>
      </w:r>
      <w:r w:rsidR="00EE035C">
        <w:rPr>
          <w:lang w:val="hu"/>
        </w:rPr>
        <w:t xml:space="preserve"> gyakorolt hatásáról,</w:t>
      </w:r>
      <w:r>
        <w:rPr>
          <w:lang w:val="hu"/>
        </w:rPr>
        <w:t xml:space="preserve"> sem </w:t>
      </w:r>
      <w:r w:rsidR="00EE035C">
        <w:rPr>
          <w:lang w:val="hu"/>
        </w:rPr>
        <w:t xml:space="preserve">pedig </w:t>
      </w:r>
      <w:r>
        <w:rPr>
          <w:lang w:val="hu"/>
        </w:rPr>
        <w:t xml:space="preserve">a szolgáltatás minőségéről.  </w:t>
      </w:r>
    </w:p>
    <w:p w:rsidR="00ED1ED5" w:rsidRPr="00867C47" w:rsidRDefault="00ED1ED5" w:rsidP="00461953">
      <w:pPr>
        <w:pStyle w:val="Textkrper"/>
        <w:ind w:left="0"/>
        <w:jc w:val="both"/>
        <w:rPr>
          <w:lang w:val="hu"/>
        </w:rPr>
      </w:pPr>
      <w:r>
        <w:rPr>
          <w:lang w:val="hu"/>
        </w:rPr>
        <w:t>Ez azzal magyarázható, hogy azok a tényezők, amelyek kihatnak a trendekre, mint például a közpénzekhez való hozzáférés a tömegközlekedési infrastruktúrákba és szolgáltatásokba való beruházásokhoz, a kollektív tárgyalás szabályozási kerete vagy a tagállamok vagy illetékes hatóságok erre a területre vonatkozó politikai döntései sokoldalúak és egymáshoz kapcsolódnak.</w:t>
      </w:r>
    </w:p>
    <w:p w:rsidR="00ED1ED5" w:rsidRPr="00867C47" w:rsidRDefault="00ED1ED5" w:rsidP="00461953">
      <w:pPr>
        <w:pStyle w:val="Textkrper"/>
        <w:ind w:left="0"/>
        <w:jc w:val="both"/>
        <w:rPr>
          <w:lang w:val="hu"/>
        </w:rPr>
      </w:pPr>
      <w:r>
        <w:rPr>
          <w:lang w:val="hu"/>
        </w:rPr>
        <w:t>Ezenfelül, a tanulmány által begyűjtött adat</w:t>
      </w:r>
      <w:r w:rsidR="006843A3">
        <w:rPr>
          <w:lang w:val="hu"/>
        </w:rPr>
        <w:t>ok</w:t>
      </w:r>
      <w:r>
        <w:rPr>
          <w:lang w:val="hu"/>
        </w:rPr>
        <w:t xml:space="preserve"> korlátozott</w:t>
      </w:r>
      <w:r w:rsidR="006843A3">
        <w:rPr>
          <w:lang w:val="hu"/>
        </w:rPr>
        <w:t>ak</w:t>
      </w:r>
      <w:r>
        <w:rPr>
          <w:lang w:val="hu"/>
        </w:rPr>
        <w:t xml:space="preserve"> azokból a körülményekből kifolyólag, amelyek az adatbegyűjtés közben és az elemzési szakaszban álltak be:</w:t>
      </w:r>
    </w:p>
    <w:p w:rsidR="00ED1ED5" w:rsidRPr="00867C47" w:rsidRDefault="00ED1ED5" w:rsidP="00461953">
      <w:pPr>
        <w:pStyle w:val="BTBullet1Last"/>
        <w:numPr>
          <w:ilvl w:val="0"/>
          <w:numId w:val="43"/>
        </w:numPr>
        <w:jc w:val="both"/>
        <w:rPr>
          <w:lang w:val="hu"/>
        </w:rPr>
      </w:pPr>
      <w:r>
        <w:rPr>
          <w:lang w:val="hu"/>
        </w:rPr>
        <w:t>Több megvizsgált országban az új odaítélési eljárás bevezetésének határideje (többnyire versenytárgyalási eljárás) vagy a versenytárgyalási eljárás gyakorlatának bejelentése megelőzte a vizsgált 2004-2014-es időszakot, így a munkafeltételekre gyakoro</w:t>
      </w:r>
      <w:r w:rsidR="006843A3">
        <w:rPr>
          <w:lang w:val="hu"/>
        </w:rPr>
        <w:t>l</w:t>
      </w:r>
      <w:r>
        <w:rPr>
          <w:lang w:val="hu"/>
        </w:rPr>
        <w:t xml:space="preserve">t hatások már </w:t>
      </w:r>
      <w:r w:rsidR="006843A3">
        <w:rPr>
          <w:lang w:val="hu"/>
        </w:rPr>
        <w:t>korábban bekövetkeztek</w:t>
      </w:r>
      <w:r>
        <w:rPr>
          <w:lang w:val="hu"/>
        </w:rPr>
        <w:t>.</w:t>
      </w:r>
    </w:p>
    <w:p w:rsidR="00ED1ED5" w:rsidRPr="00356B55" w:rsidRDefault="00ED1ED5" w:rsidP="00461953">
      <w:pPr>
        <w:pStyle w:val="BTBullet1Last"/>
        <w:numPr>
          <w:ilvl w:val="0"/>
          <w:numId w:val="43"/>
        </w:numPr>
        <w:jc w:val="both"/>
      </w:pPr>
      <w:r>
        <w:rPr>
          <w:lang w:val="hu"/>
        </w:rPr>
        <w:t>Az olyan országok, mint Franciaország (Párizson kívül), Svédország, Hollandia és Finnország, amelyek nagyobb gyakorlattal</w:t>
      </w:r>
      <w:r w:rsidR="00D2087C">
        <w:rPr>
          <w:lang w:val="hu"/>
        </w:rPr>
        <w:t xml:space="preserve"> vagy</w:t>
      </w:r>
      <w:r>
        <w:rPr>
          <w:lang w:val="hu"/>
        </w:rPr>
        <w:t xml:space="preserve"> nagyobb hagyománnyal </w:t>
      </w:r>
      <w:r w:rsidR="006843A3">
        <w:rPr>
          <w:lang w:val="hu"/>
        </w:rPr>
        <w:t>rendelkeznek</w:t>
      </w:r>
      <w:r>
        <w:rPr>
          <w:lang w:val="hu"/>
        </w:rPr>
        <w:t xml:space="preserve"> a versenytárgyalási eljárások</w:t>
      </w:r>
      <w:r w:rsidR="006843A3">
        <w:rPr>
          <w:lang w:val="hu"/>
        </w:rPr>
        <w:t xml:space="preserve"> terén</w:t>
      </w:r>
      <w:r w:rsidR="00D2087C">
        <w:rPr>
          <w:lang w:val="hu"/>
        </w:rPr>
        <w:t>,</w:t>
      </w:r>
      <w:r>
        <w:rPr>
          <w:lang w:val="hu"/>
        </w:rPr>
        <w:t xml:space="preserve"> mindkét</w:t>
      </w:r>
      <w:r w:rsidR="006843A3">
        <w:rPr>
          <w:lang w:val="hu"/>
        </w:rPr>
        <w:t xml:space="preserve"> feltétellel</w:t>
      </w:r>
      <w:r>
        <w:rPr>
          <w:lang w:val="hu"/>
        </w:rPr>
        <w:t xml:space="preserve"> rendelkeznek a versenytárgyalási eljárások szociális keretének megteremtéséhez</w:t>
      </w:r>
      <w:r w:rsidR="006843A3">
        <w:rPr>
          <w:lang w:val="hu"/>
        </w:rPr>
        <w:t xml:space="preserve"> </w:t>
      </w:r>
      <w:r>
        <w:rPr>
          <w:lang w:val="hu"/>
        </w:rPr>
        <w:t xml:space="preserve">(egyetemesen alkalmazható ágazati kollektív </w:t>
      </w:r>
      <w:r w:rsidR="006843A3">
        <w:rPr>
          <w:lang w:val="hu"/>
        </w:rPr>
        <w:t>megállapodás</w:t>
      </w:r>
      <w:r>
        <w:rPr>
          <w:lang w:val="hu"/>
        </w:rPr>
        <w:t xml:space="preserve"> és kötelező érvényű személyzetáthelyezés). Az Egyesült Királyságban (Londonban) csak egy </w:t>
      </w:r>
      <w:r w:rsidR="006843A3">
        <w:rPr>
          <w:lang w:val="hu"/>
        </w:rPr>
        <w:t>feltétel áll rendelkezésre</w:t>
      </w:r>
      <w:r>
        <w:rPr>
          <w:lang w:val="hu"/>
        </w:rPr>
        <w:t xml:space="preserve">, a személyzetáthelyezés, mely garantálja a foglalkoztatás </w:t>
      </w:r>
      <w:r w:rsidR="006843A3">
        <w:rPr>
          <w:lang w:val="hu"/>
        </w:rPr>
        <w:t>folyamatosságát,</w:t>
      </w:r>
      <w:r>
        <w:rPr>
          <w:lang w:val="hu"/>
        </w:rPr>
        <w:t xml:space="preserve"> és bizonyos szintű védelmet nyújt a kivívott jogok és feltételek vonatkozásában, de összevetve a szociális feltételek szintjét az Egyesült Királyságban (London</w:t>
      </w:r>
      <w:r w:rsidR="006843A3">
        <w:rPr>
          <w:lang w:val="hu"/>
        </w:rPr>
        <w:t>ban</w:t>
      </w:r>
      <w:r>
        <w:rPr>
          <w:lang w:val="hu"/>
        </w:rPr>
        <w:t xml:space="preserve">) a többi országéval </w:t>
      </w:r>
      <w:r w:rsidR="006843A3">
        <w:rPr>
          <w:lang w:val="hu"/>
        </w:rPr>
        <w:t>megállapít</w:t>
      </w:r>
      <w:r>
        <w:rPr>
          <w:lang w:val="hu"/>
        </w:rPr>
        <w:t>ható, hogy az ágazati szintű megállapodások határozzák meg az ágazat szociális feltételeinek minimumkövetelményeit</w:t>
      </w:r>
      <w:r w:rsidR="006843A3">
        <w:rPr>
          <w:lang w:val="hu"/>
        </w:rPr>
        <w:t>,</w:t>
      </w:r>
      <w:r>
        <w:rPr>
          <w:lang w:val="hu"/>
        </w:rPr>
        <w:t xml:space="preserve"> az ágazat specifikus szociális feltételeire korlátozva a versenyt. Egyetlen, </w:t>
      </w:r>
      <w:r w:rsidR="006843A3">
        <w:rPr>
          <w:lang w:val="hu"/>
        </w:rPr>
        <w:t xml:space="preserve">a </w:t>
      </w:r>
      <w:r>
        <w:rPr>
          <w:lang w:val="hu"/>
        </w:rPr>
        <w:t>vizsgálat alá v</w:t>
      </w:r>
      <w:r w:rsidR="006843A3">
        <w:rPr>
          <w:lang w:val="hu"/>
        </w:rPr>
        <w:t>on</w:t>
      </w:r>
      <w:r>
        <w:rPr>
          <w:lang w:val="hu"/>
        </w:rPr>
        <w:t>t és a versenytárgyalási eljárásokban nagyobb gyakorlattal</w:t>
      </w:r>
      <w:r w:rsidR="00D2087C">
        <w:rPr>
          <w:lang w:val="hu"/>
        </w:rPr>
        <w:t xml:space="preserve"> illetve</w:t>
      </w:r>
      <w:r>
        <w:rPr>
          <w:lang w:val="hu"/>
        </w:rPr>
        <w:t xml:space="preserve"> nagyobb hagyománnyal bíró ország sem </w:t>
      </w:r>
      <w:r w:rsidR="009F15C5">
        <w:rPr>
          <w:lang w:val="hu"/>
        </w:rPr>
        <w:t xml:space="preserve">határozott meg előírást </w:t>
      </w:r>
      <w:r w:rsidR="000D4ABF">
        <w:rPr>
          <w:lang w:val="hu"/>
        </w:rPr>
        <w:t xml:space="preserve">a </w:t>
      </w:r>
      <w:r w:rsidR="009F15C5">
        <w:rPr>
          <w:lang w:val="hu"/>
        </w:rPr>
        <w:t>versenytárgyalási eljárások</w:t>
      </w:r>
      <w:r w:rsidR="000D4ABF">
        <w:rPr>
          <w:lang w:val="hu"/>
        </w:rPr>
        <w:t xml:space="preserve"> egyetlen</w:t>
      </w:r>
      <w:r w:rsidR="009F15C5">
        <w:rPr>
          <w:lang w:val="hu"/>
        </w:rPr>
        <w:t xml:space="preserve"> </w:t>
      </w:r>
      <w:r>
        <w:rPr>
          <w:lang w:val="hu"/>
        </w:rPr>
        <w:t>szociális keretelem</w:t>
      </w:r>
      <w:r w:rsidR="000D4ABF">
        <w:rPr>
          <w:lang w:val="hu"/>
        </w:rPr>
        <w:t>é</w:t>
      </w:r>
      <w:r w:rsidR="009F15C5">
        <w:rPr>
          <w:lang w:val="hu"/>
        </w:rPr>
        <w:t>re vonatkozóan</w:t>
      </w:r>
      <w:r w:rsidR="000D4ABF">
        <w:rPr>
          <w:lang w:val="hu"/>
        </w:rPr>
        <w:t xml:space="preserve"> sem</w:t>
      </w:r>
      <w:r w:rsidR="009F15C5">
        <w:rPr>
          <w:lang w:val="hu"/>
        </w:rPr>
        <w:t xml:space="preserve">. </w:t>
      </w:r>
      <w:r>
        <w:rPr>
          <w:lang w:val="hu"/>
        </w:rPr>
        <w:t>Más vizsgált országok sem nyújtanak ilyen elemeke</w:t>
      </w:r>
      <w:r w:rsidR="00E20952">
        <w:rPr>
          <w:lang w:val="hu"/>
        </w:rPr>
        <w:t>t (</w:t>
      </w:r>
      <w:r>
        <w:rPr>
          <w:lang w:val="hu"/>
        </w:rPr>
        <w:t xml:space="preserve">BG, CZ, DE (egyes régiókban)), de közülük csak néhányban </w:t>
      </w:r>
      <w:r w:rsidR="000D4ABF">
        <w:rPr>
          <w:lang w:val="hu"/>
        </w:rPr>
        <w:t>alkalmazzák</w:t>
      </w:r>
      <w:r>
        <w:rPr>
          <w:lang w:val="hu"/>
        </w:rPr>
        <w:t xml:space="preserve"> a versenytárgyalási eljárás</w:t>
      </w:r>
      <w:r w:rsidR="000D4ABF">
        <w:rPr>
          <w:lang w:val="hu"/>
        </w:rPr>
        <w:t>t</w:t>
      </w:r>
      <w:r>
        <w:rPr>
          <w:lang w:val="hu"/>
        </w:rPr>
        <w:t>. Így a helyzet következményeit nem lehetett kimerítően felmérni.</w:t>
      </w:r>
    </w:p>
    <w:p w:rsidR="00ED1ED5" w:rsidRPr="00867C47" w:rsidRDefault="00ED1ED5" w:rsidP="00461953">
      <w:pPr>
        <w:pStyle w:val="BTBullet1Last"/>
        <w:numPr>
          <w:ilvl w:val="0"/>
          <w:numId w:val="43"/>
        </w:numPr>
        <w:jc w:val="both"/>
        <w:rPr>
          <w:lang w:val="hu"/>
        </w:rPr>
      </w:pPr>
      <w:r>
        <w:rPr>
          <w:lang w:val="hu"/>
        </w:rPr>
        <w:t>A tanulmány</w:t>
      </w:r>
      <w:r w:rsidR="00E20952">
        <w:rPr>
          <w:lang w:val="hu"/>
        </w:rPr>
        <w:t xml:space="preserve"> a városi tömegközlekedési szolgáltatásban</w:t>
      </w:r>
      <w:r>
        <w:rPr>
          <w:lang w:val="hu"/>
        </w:rPr>
        <w:t xml:space="preserve"> 6 </w:t>
      </w:r>
      <w:r w:rsidR="00E20952">
        <w:rPr>
          <w:lang w:val="hu"/>
        </w:rPr>
        <w:t>konkrét</w:t>
      </w:r>
      <w:r>
        <w:rPr>
          <w:lang w:val="hu"/>
        </w:rPr>
        <w:t xml:space="preserve"> vállalati esettanulmányt és két vállalaton túlmenő specifikus versenytárgyalási eljárás esetét </w:t>
      </w:r>
      <w:r w:rsidR="002B7227">
        <w:rPr>
          <w:lang w:val="hu"/>
        </w:rPr>
        <w:t>is bemutatta, illetve a</w:t>
      </w:r>
      <w:r>
        <w:rPr>
          <w:lang w:val="hu"/>
        </w:rPr>
        <w:t xml:space="preserve"> szolgáltatóváltás</w:t>
      </w:r>
      <w:r w:rsidR="002B7227">
        <w:rPr>
          <w:lang w:val="hu"/>
        </w:rPr>
        <w:t xml:space="preserve"> kérdését is vizsgálta</w:t>
      </w:r>
      <w:r>
        <w:rPr>
          <w:lang w:val="hu"/>
        </w:rPr>
        <w:t xml:space="preserve">. </w:t>
      </w:r>
      <w:r w:rsidR="00AC0A1C">
        <w:rPr>
          <w:lang w:val="hu"/>
        </w:rPr>
        <w:t>Leginkább a</w:t>
      </w:r>
      <w:r>
        <w:rPr>
          <w:lang w:val="hu"/>
        </w:rPr>
        <w:t xml:space="preserve"> közszolgáltatási szerződések belső szolgáltatónak való közvetlen odaítélése a jellemző. Korlátozott számban érhetőek csak el tényekkel alátámasztott adatok a versenytárgyalási eljárás hatásainak kimutatására. Érdekes módon, a szociális feltételekre gyakorolt bizonyos hatások hasonlóan megfigyelhetők a belső szolgáltatóknál abból eredően, hogy fennáll a választási lehetőség a versenyre és a kötelezettség a közszolgáltatási szerződések aláírására a PSO rendelet értelmében belső szolgáltatóval.  </w:t>
      </w:r>
    </w:p>
    <w:p w:rsidR="00ED1ED5" w:rsidRPr="00867C47" w:rsidRDefault="00ED1ED5" w:rsidP="00461953">
      <w:pPr>
        <w:pStyle w:val="Textkrper"/>
        <w:ind w:left="0"/>
        <w:jc w:val="both"/>
        <w:rPr>
          <w:lang w:val="hu"/>
        </w:rPr>
      </w:pPr>
      <w:r>
        <w:rPr>
          <w:lang w:val="hu"/>
        </w:rPr>
        <w:t xml:space="preserve">A tanulmány kimutatta, hogy a közpénzekhez való </w:t>
      </w:r>
      <w:r w:rsidR="00AC0A1C">
        <w:rPr>
          <w:lang w:val="hu"/>
        </w:rPr>
        <w:t>korlátozott</w:t>
      </w:r>
      <w:r>
        <w:rPr>
          <w:lang w:val="hu"/>
        </w:rPr>
        <w:t xml:space="preserve"> hozzáférés a tömegközlekedési infrastruktúrákba és szolgáltatásokba </w:t>
      </w:r>
      <w:r w:rsidR="00AC0A1C">
        <w:rPr>
          <w:lang w:val="hu"/>
        </w:rPr>
        <w:t>történő</w:t>
      </w:r>
      <w:r>
        <w:rPr>
          <w:lang w:val="hu"/>
        </w:rPr>
        <w:t xml:space="preserve"> beruházásokhoz és a politikai és/vagy gazdasági megfontolásból hozott döntések a nagyobb költséghatékonyság és a hatékonyság érdekében kedvezőtlenül hatottak a munkafeltételekre mindkét odaítélési eljárás esetében, a közvetlenül odaítélt és a versenytárgyalási eljárás során megszerzett szerződések esetén is</w:t>
      </w:r>
      <w:r w:rsidR="00AC0A1C">
        <w:rPr>
          <w:lang w:val="hu"/>
        </w:rPr>
        <w:t>,</w:t>
      </w:r>
      <w:r>
        <w:rPr>
          <w:lang w:val="hu"/>
        </w:rPr>
        <w:t xml:space="preserve"> bár a mechanizmusok eltérőek. </w:t>
      </w:r>
    </w:p>
    <w:p w:rsidR="00ED1ED5" w:rsidRPr="00867C47" w:rsidRDefault="00ED1ED5" w:rsidP="00461953">
      <w:pPr>
        <w:pStyle w:val="Textkrper"/>
        <w:ind w:left="0"/>
        <w:jc w:val="both"/>
        <w:rPr>
          <w:lang w:val="hu"/>
        </w:rPr>
      </w:pPr>
      <w:r>
        <w:rPr>
          <w:lang w:val="hu"/>
        </w:rPr>
        <w:t xml:space="preserve">Megjegyzendő az is, hogy az országokból begyűjtött adatok és vállalati esettanulmányok különféleképp értelmezhetők tárgytól függően: </w:t>
      </w:r>
    </w:p>
    <w:p w:rsidR="00ED1ED5" w:rsidRPr="00867C47" w:rsidRDefault="00ED1ED5" w:rsidP="00461953">
      <w:pPr>
        <w:pStyle w:val="Textkrper"/>
        <w:ind w:left="0"/>
        <w:jc w:val="both"/>
        <w:rPr>
          <w:lang w:val="hu"/>
        </w:rPr>
      </w:pPr>
      <w:r>
        <w:rPr>
          <w:lang w:val="hu"/>
        </w:rPr>
        <w:t>A szakszervezeti oldal a versenytárgyalási eljárás</w:t>
      </w:r>
      <w:r w:rsidR="00AC0A1C">
        <w:rPr>
          <w:lang w:val="hu"/>
        </w:rPr>
        <w:t>ból fakadó azon</w:t>
      </w:r>
      <w:r>
        <w:rPr>
          <w:lang w:val="hu"/>
        </w:rPr>
        <w:t xml:space="preserve"> mechanizmusra összpontosít, </w:t>
      </w:r>
      <w:r w:rsidR="00AC0A1C">
        <w:rPr>
          <w:lang w:val="hu"/>
        </w:rPr>
        <w:t>hogy</w:t>
      </w:r>
      <w:r>
        <w:rPr>
          <w:lang w:val="hu"/>
        </w:rPr>
        <w:t xml:space="preserve"> a vállalatok a legolcsóbb árajánlat alapján versengenek és sem a jogi keret, sem az illetékes hatóságok pályázati kiírásaiban nem írják elő az egyenlő versenyfeltételeket minden ajánlattevő számára</w:t>
      </w:r>
      <w:r w:rsidR="00AC0A1C">
        <w:rPr>
          <w:lang w:val="hu"/>
        </w:rPr>
        <w:t>,</w:t>
      </w:r>
      <w:r>
        <w:rPr>
          <w:lang w:val="hu"/>
        </w:rPr>
        <w:t xml:space="preserve"> és </w:t>
      </w:r>
      <w:r w:rsidR="00AC0A1C">
        <w:rPr>
          <w:lang w:val="hu"/>
        </w:rPr>
        <w:t>nem teszik lehetővé</w:t>
      </w:r>
      <w:r>
        <w:rPr>
          <w:lang w:val="hu"/>
        </w:rPr>
        <w:t xml:space="preserve"> a munkafeltételeken alapuló versenyt ebben a</w:t>
      </w:r>
      <w:r w:rsidR="00AC0A1C">
        <w:rPr>
          <w:lang w:val="hu"/>
        </w:rPr>
        <w:t xml:space="preserve"> munka</w:t>
      </w:r>
      <w:r>
        <w:rPr>
          <w:lang w:val="hu"/>
        </w:rPr>
        <w:t xml:space="preserve">intenzív ágazatban. </w:t>
      </w:r>
    </w:p>
    <w:p w:rsidR="00ED1ED5" w:rsidRPr="00867C47" w:rsidRDefault="00ED1ED5" w:rsidP="00461953">
      <w:pPr>
        <w:pStyle w:val="Textkrper"/>
        <w:ind w:left="0"/>
        <w:jc w:val="both"/>
        <w:rPr>
          <w:lang w:val="hu"/>
        </w:rPr>
      </w:pPr>
      <w:r>
        <w:rPr>
          <w:lang w:val="hu"/>
        </w:rPr>
        <w:t xml:space="preserve">A munkáltatói oldal a közpénzek hiányára fókuszál, a kényszerre, hogy </w:t>
      </w:r>
      <w:r w:rsidR="00AC0A1C">
        <w:rPr>
          <w:lang w:val="hu"/>
        </w:rPr>
        <w:t>„</w:t>
      </w:r>
      <w:r>
        <w:rPr>
          <w:lang w:val="hu"/>
        </w:rPr>
        <w:t>többet kell elvégezni ugyanannyi összeggel</w:t>
      </w:r>
      <w:r w:rsidR="00AC0A1C">
        <w:rPr>
          <w:lang w:val="hu"/>
        </w:rPr>
        <w:t>”,</w:t>
      </w:r>
      <w:r>
        <w:rPr>
          <w:lang w:val="hu"/>
        </w:rPr>
        <w:t xml:space="preserve"> növelve ezáltal a hatékonyságot, javítva a minőséget és serkentve az innovációt. Az illetékes hatóságok felelőssége, hogy meghatározz</w:t>
      </w:r>
      <w:r w:rsidR="00AC0A1C">
        <w:rPr>
          <w:lang w:val="hu"/>
        </w:rPr>
        <w:t>ák</w:t>
      </w:r>
      <w:r>
        <w:rPr>
          <w:lang w:val="hu"/>
        </w:rPr>
        <w:t xml:space="preserve"> a vállalatok által teljesítendő szolgáltatások szintjét és a minőséget</w:t>
      </w:r>
      <w:r w:rsidR="00D2087C">
        <w:rPr>
          <w:lang w:val="hu"/>
        </w:rPr>
        <w:t>,</w:t>
      </w:r>
      <w:r>
        <w:rPr>
          <w:lang w:val="hu"/>
        </w:rPr>
        <w:t xml:space="preserve"> függetlenül az odaítélési eljárástól. A szolgáltató felelőssége, hogy a legjobb megoldásokat nyújtsa </w:t>
      </w:r>
      <w:r w:rsidR="00AC0A1C">
        <w:rPr>
          <w:lang w:val="hu"/>
        </w:rPr>
        <w:t xml:space="preserve">és innovációt dolgozzon ki </w:t>
      </w:r>
      <w:r>
        <w:rPr>
          <w:lang w:val="hu"/>
        </w:rPr>
        <w:t xml:space="preserve">az utasok </w:t>
      </w:r>
      <w:r w:rsidR="00AC0A1C">
        <w:rPr>
          <w:lang w:val="hu"/>
        </w:rPr>
        <w:t>igényei</w:t>
      </w:r>
      <w:r w:rsidR="007119B3">
        <w:rPr>
          <w:lang w:val="hu"/>
        </w:rPr>
        <w:t xml:space="preserve">hez </w:t>
      </w:r>
      <w:r w:rsidR="00AC0A1C">
        <w:rPr>
          <w:lang w:val="hu"/>
        </w:rPr>
        <w:t>való</w:t>
      </w:r>
      <w:r w:rsidR="00BE6A76">
        <w:rPr>
          <w:lang w:val="hu"/>
        </w:rPr>
        <w:t xml:space="preserve"> igazodás</w:t>
      </w:r>
      <w:r w:rsidR="00AC0A1C">
        <w:rPr>
          <w:lang w:val="hu"/>
        </w:rPr>
        <w:t xml:space="preserve"> érdekében</w:t>
      </w:r>
      <w:r>
        <w:rPr>
          <w:lang w:val="hu"/>
        </w:rPr>
        <w:t xml:space="preserve">. </w:t>
      </w:r>
    </w:p>
    <w:p w:rsidR="00502226" w:rsidRPr="00867C47" w:rsidRDefault="00ED1ED5" w:rsidP="00461953">
      <w:pPr>
        <w:pStyle w:val="Textkrper"/>
        <w:ind w:left="0"/>
        <w:jc w:val="both"/>
        <w:rPr>
          <w:lang w:val="hu"/>
        </w:rPr>
      </w:pPr>
      <w:r>
        <w:rPr>
          <w:lang w:val="hu"/>
        </w:rPr>
        <w:t xml:space="preserve">A tanulmány éppen ezért arra szolgál, hogy kiemelje a különböző eljárási formák előnyeit és hátrányait, </w:t>
      </w:r>
      <w:r w:rsidR="0017020D">
        <w:rPr>
          <w:lang w:val="hu"/>
        </w:rPr>
        <w:t>konkrét</w:t>
      </w:r>
      <w:r>
        <w:rPr>
          <w:lang w:val="hu"/>
        </w:rPr>
        <w:t xml:space="preserve"> esettanulmányokra alapozva, melyek hozzájárulhatnak a legjobb gyakorlatok mélyebb megértéséhez</w:t>
      </w:r>
      <w:r w:rsidR="00D32694">
        <w:rPr>
          <w:lang w:val="hu"/>
        </w:rPr>
        <w:t>,</w:t>
      </w:r>
      <w:r>
        <w:rPr>
          <w:lang w:val="hu"/>
        </w:rPr>
        <w:t xml:space="preserve"> garantálva a foglalkoztatás biztonságát, a szociális normákat és a szolgáltatások minőségét.</w:t>
      </w:r>
    </w:p>
    <w:sectPr w:rsidR="00502226" w:rsidRPr="00867C47" w:rsidSect="006B2BA5">
      <w:headerReference w:type="default" r:id="rId18"/>
      <w:footerReference w:type="default" r:id="rId19"/>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4D" w:rsidRDefault="0074774D" w:rsidP="001E33FA">
      <w:pPr>
        <w:spacing w:after="0" w:line="240" w:lineRule="auto"/>
      </w:pPr>
      <w:r>
        <w:separator/>
      </w:r>
    </w:p>
  </w:endnote>
  <w:endnote w:type="continuationSeparator" w:id="0">
    <w:p w:rsidR="0074774D" w:rsidRDefault="0074774D"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115DE7" w:rsidRPr="007856EB">
      <w:tc>
        <w:tcPr>
          <w:tcW w:w="5000" w:type="pct"/>
          <w:tcBorders>
            <w:top w:val="single" w:sz="48" w:space="0" w:color="0067AB"/>
          </w:tcBorders>
        </w:tcPr>
        <w:p w:rsidR="00115DE7" w:rsidRPr="007856EB" w:rsidRDefault="00115DE7" w:rsidP="00FD5DB5">
          <w:pPr>
            <w:pStyle w:val="DocAddress"/>
          </w:pPr>
        </w:p>
      </w:tc>
    </w:tr>
  </w:tbl>
  <w:p w:rsidR="00115DE7" w:rsidRPr="00A279FE" w:rsidRDefault="00115DE7" w:rsidP="00C50B29">
    <w:pPr>
      <w:pStyle w:val="Fuzeile"/>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115DE7" w:rsidRPr="007856EB">
      <w:tc>
        <w:tcPr>
          <w:tcW w:w="5000" w:type="pct"/>
          <w:tcBorders>
            <w:top w:val="single" w:sz="48" w:space="0" w:color="0067AB"/>
          </w:tcBorders>
        </w:tcPr>
        <w:p w:rsidR="00115DE7" w:rsidRPr="007856EB" w:rsidRDefault="00115DE7" w:rsidP="00FD5DB5">
          <w:pPr>
            <w:pStyle w:val="DocAddress"/>
          </w:pPr>
        </w:p>
      </w:tc>
    </w:tr>
  </w:tbl>
  <w:p w:rsidR="00115DE7" w:rsidRPr="00A279FE" w:rsidRDefault="00115DE7" w:rsidP="0091335A">
    <w:pPr>
      <w:pStyle w:val="Fuzeile"/>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7" w:rsidRDefault="00115DE7" w:rsidP="00244FC3">
    <w:pPr>
      <w:pStyle w:val="Fuzeile"/>
    </w:pPr>
    <w:r>
      <w:rPr>
        <w:lang w:val="hu"/>
      </w:rP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115DE7" w:rsidRPr="007856EB">
      <w:trPr>
        <w:trHeight w:val="454"/>
      </w:trPr>
      <w:tc>
        <w:tcPr>
          <w:tcW w:w="3500" w:type="pct"/>
          <w:tcBorders>
            <w:top w:val="single" w:sz="48" w:space="0" w:color="0067AB"/>
          </w:tcBorders>
        </w:tcPr>
        <w:p w:rsidR="00115DE7" w:rsidRPr="007856EB" w:rsidRDefault="00115DE7" w:rsidP="00313589">
          <w:pPr>
            <w:pStyle w:val="Fuzeile"/>
          </w:pPr>
          <w:r>
            <w:rPr>
              <w:noProof/>
              <w:lang w:val="hu"/>
            </w:rPr>
            <w:fldChar w:fldCharType="begin"/>
          </w:r>
          <w:r>
            <w:rPr>
              <w:noProof/>
              <w:lang w:val="hu"/>
            </w:rPr>
            <w:instrText xml:space="preserve"> IF </w:instrText>
          </w:r>
          <w:r w:rsidR="00E073CF">
            <w:fldChar w:fldCharType="begin"/>
          </w:r>
          <w:r w:rsidR="00E073CF">
            <w:instrText xml:space="preserve"> DOCVARIABLE  FooterVersion  \* MERGEFORMAT </w:instrText>
          </w:r>
          <w:r w:rsidR="00E073CF">
            <w:fldChar w:fldCharType="separate"/>
          </w:r>
          <w:r>
            <w:rPr>
              <w:noProof/>
              <w:lang w:val="hu"/>
            </w:rPr>
            <w:instrText xml:space="preserve"> </w:instrText>
          </w:r>
          <w:r w:rsidR="00E073CF">
            <w:rPr>
              <w:noProof/>
              <w:lang w:val="hu"/>
            </w:rPr>
            <w:fldChar w:fldCharType="end"/>
          </w:r>
          <w:r>
            <w:rPr>
              <w:noProof/>
              <w:lang w:val="hu"/>
            </w:rPr>
            <w:instrText xml:space="preserve"> = "Error! No document variable supplied." " " </w:instrText>
          </w:r>
          <w:r w:rsidR="00E073CF">
            <w:fldChar w:fldCharType="begin"/>
          </w:r>
          <w:r w:rsidR="00E073CF">
            <w:instrText xml:space="preserve"> DOCVARIABLE  FooterVersion \* MERGEFORMAT </w:instrText>
          </w:r>
          <w:r w:rsidR="00E073CF">
            <w:fldChar w:fldCharType="separate"/>
          </w:r>
          <w:r>
            <w:rPr>
              <w:noProof/>
              <w:lang w:val="hu"/>
            </w:rPr>
            <w:instrText xml:space="preserve"> </w:instrText>
          </w:r>
          <w:r w:rsidR="00E073CF">
            <w:rPr>
              <w:noProof/>
              <w:lang w:val="hu"/>
            </w:rPr>
            <w:fldChar w:fldCharType="end"/>
          </w:r>
          <w:r>
            <w:rPr>
              <w:noProof/>
              <w:lang w:val="hu"/>
            </w:rPr>
            <w:instrText xml:space="preserve"> \* MERGEFORMAT </w:instrText>
          </w:r>
          <w:r>
            <w:rPr>
              <w:noProof/>
              <w:lang w:val="hu"/>
            </w:rPr>
            <w:fldChar w:fldCharType="separate"/>
          </w:r>
          <w:r>
            <w:rPr>
              <w:noProof/>
              <w:lang w:val="hu"/>
            </w:rPr>
            <w:t xml:space="preserve"> </w:t>
          </w:r>
          <w:r>
            <w:rPr>
              <w:noProof/>
              <w:lang w:val="hu"/>
            </w:rPr>
            <w:fldChar w:fldCharType="end"/>
          </w:r>
        </w:p>
      </w:tc>
      <w:tc>
        <w:tcPr>
          <w:tcW w:w="1500" w:type="pct"/>
          <w:tcBorders>
            <w:top w:val="single" w:sz="48" w:space="0" w:color="0067AB"/>
          </w:tcBorders>
        </w:tcPr>
        <w:p w:rsidR="00115DE7" w:rsidRPr="007856EB" w:rsidRDefault="005A75CC" w:rsidP="007856EB">
          <w:pPr>
            <w:pStyle w:val="Kopfzeile"/>
            <w:spacing w:before="80"/>
            <w:jc w:val="right"/>
            <w:rPr>
              <w:rStyle w:val="Seitenzahl"/>
            </w:rPr>
          </w:pPr>
          <w:r w:rsidRPr="007856EB">
            <w:rPr>
              <w:rStyle w:val="Seitenzahl"/>
            </w:rPr>
            <w:fldChar w:fldCharType="begin"/>
          </w:r>
          <w:r w:rsidRPr="007856EB">
            <w:rPr>
              <w:rStyle w:val="Seitenzahl"/>
            </w:rPr>
            <w:instrText xml:space="preserve"> PAGE   \* MERGEFORMAT </w:instrText>
          </w:r>
          <w:r w:rsidRPr="007856EB">
            <w:rPr>
              <w:rStyle w:val="Seitenzahl"/>
            </w:rPr>
            <w:fldChar w:fldCharType="separate"/>
          </w:r>
          <w:r w:rsidR="00E073CF">
            <w:rPr>
              <w:rStyle w:val="Seitenzahl"/>
              <w:noProof/>
            </w:rPr>
            <w:t>11</w:t>
          </w:r>
          <w:r w:rsidRPr="007856EB">
            <w:rPr>
              <w:rStyle w:val="Seitenzahl"/>
            </w:rPr>
            <w:fldChar w:fldCharType="end"/>
          </w:r>
        </w:p>
      </w:tc>
    </w:tr>
  </w:tbl>
  <w:p w:rsidR="00115DE7" w:rsidRPr="00B97405" w:rsidRDefault="00115DE7" w:rsidP="00244FC3">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4D" w:rsidRDefault="0074774D" w:rsidP="001E33FA">
      <w:pPr>
        <w:spacing w:after="0" w:line="240" w:lineRule="auto"/>
      </w:pPr>
      <w:r>
        <w:separator/>
      </w:r>
    </w:p>
  </w:footnote>
  <w:footnote w:type="continuationSeparator" w:id="0">
    <w:p w:rsidR="0074774D" w:rsidRDefault="0074774D" w:rsidP="001E33FA">
      <w:pPr>
        <w:spacing w:after="0" w:line="240" w:lineRule="auto"/>
      </w:pPr>
      <w:r>
        <w:continuationSeparator/>
      </w:r>
    </w:p>
  </w:footnote>
  <w:footnote w:id="1">
    <w:p w:rsidR="005A75CC" w:rsidRPr="005A75CC" w:rsidRDefault="005A75CC">
      <w:pPr>
        <w:pStyle w:val="Funotentext"/>
        <w:rPr>
          <w:lang w:val="en-US"/>
        </w:rPr>
      </w:pPr>
      <w:r>
        <w:rPr>
          <w:rStyle w:val="Funotenzeichen"/>
        </w:rPr>
        <w:footnoteRef/>
      </w:r>
      <w:r>
        <w:t xml:space="preserve"> </w:t>
      </w:r>
      <w:r>
        <w:rPr>
          <w:lang w:val="hu"/>
        </w:rPr>
        <w:t>Ez vonatkozik azokra a korábbi szolgáltatókra, amelyek azt megelőzően működtek, mielőtt első körben szervezték meg a közvetlenül odaítélt eljárásokat, pl. Németországban.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7" w:rsidRDefault="00115DE7" w:rsidP="00C50B29">
    <w:pPr>
      <w:pStyle w:val="Kopfzeile"/>
    </w:pPr>
    <w:r>
      <w:rPr>
        <w:noProof/>
        <w:lang w:val="de-DE" w:eastAsia="de-DE"/>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115DE7" w:rsidRPr="007856EB">
      <w:trPr>
        <w:trHeight w:hRule="exact" w:val="284"/>
      </w:trPr>
      <w:tc>
        <w:tcPr>
          <w:tcW w:w="3500" w:type="pct"/>
          <w:shd w:val="clear" w:color="auto" w:fill="0067AB"/>
        </w:tcPr>
        <w:p w:rsidR="00115DE7" w:rsidRPr="007856EB" w:rsidRDefault="00115DE7" w:rsidP="007856EB">
          <w:pPr>
            <w:pStyle w:val="Funotentext"/>
            <w:spacing w:before="80"/>
          </w:pPr>
        </w:p>
      </w:tc>
      <w:tc>
        <w:tcPr>
          <w:tcW w:w="1500" w:type="pct"/>
          <w:shd w:val="clear" w:color="auto" w:fill="0067AB"/>
        </w:tcPr>
        <w:p w:rsidR="00115DE7" w:rsidRPr="007856EB" w:rsidRDefault="00115DE7" w:rsidP="007856EB">
          <w:pPr>
            <w:pStyle w:val="Kopfzeile"/>
            <w:spacing w:before="80"/>
            <w:jc w:val="right"/>
            <w:rPr>
              <w:rStyle w:val="Seitenzahl"/>
            </w:rPr>
          </w:pPr>
        </w:p>
      </w:tc>
    </w:tr>
    <w:tr w:rsidR="00115DE7" w:rsidRPr="007856EB">
      <w:trPr>
        <w:trHeight w:val="454"/>
      </w:trPr>
      <w:tc>
        <w:tcPr>
          <w:tcW w:w="3500" w:type="pct"/>
        </w:tcPr>
        <w:p w:rsidR="00115DE7" w:rsidRPr="007856EB" w:rsidRDefault="00115DE7" w:rsidP="007856EB">
          <w:pPr>
            <w:pStyle w:val="Funotentext"/>
            <w:spacing w:before="80"/>
          </w:pPr>
        </w:p>
      </w:tc>
      <w:tc>
        <w:tcPr>
          <w:tcW w:w="1500" w:type="pct"/>
        </w:tcPr>
        <w:p w:rsidR="00115DE7" w:rsidRPr="007856EB" w:rsidRDefault="00115DE7" w:rsidP="007856EB">
          <w:pPr>
            <w:pStyle w:val="Kopfzeile"/>
            <w:spacing w:before="80"/>
            <w:jc w:val="right"/>
            <w:rPr>
              <w:rStyle w:val="Seitenzahl"/>
            </w:rPr>
          </w:pPr>
        </w:p>
      </w:tc>
    </w:tr>
  </w:tbl>
  <w:p w:rsidR="00115DE7" w:rsidRDefault="00115DE7" w:rsidP="00DE3F5F">
    <w:pPr>
      <w:pStyle w:val="Fu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DE7" w:rsidRDefault="00115DE7" w:rsidP="00653F69">
    <w:pPr>
      <w:pStyle w:val="Kopfzeile"/>
    </w:pPr>
  </w:p>
  <w:p w:rsidR="00115DE7" w:rsidRDefault="00115DE7" w:rsidP="00653F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Ábra %1.%6"/>
      <w:lvlJc w:val="left"/>
      <w:pPr>
        <w:tabs>
          <w:tab w:val="num" w:pos="851"/>
        </w:tabs>
        <w:ind w:left="1928" w:hanging="1077"/>
      </w:pPr>
      <w:rPr>
        <w:rFonts w:ascii="Calibri" w:hAnsi="Calibri" w:cs="Calibri" w:hint="default"/>
        <w:color w:val="0067AC"/>
      </w:rPr>
    </w:lvl>
    <w:lvl w:ilvl="6">
      <w:start w:val="1"/>
      <w:numFmt w:val="decimal"/>
      <w:lvlRestart w:val="0"/>
      <w:lvlText w:val="Tartalom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zint %1"/>
      <w:lvlJc w:val="left"/>
      <w:pPr>
        <w:tabs>
          <w:tab w:val="num" w:pos="1814"/>
        </w:tabs>
        <w:ind w:left="1814" w:hanging="963"/>
      </w:pPr>
      <w:rPr>
        <w:rFonts w:hint="default"/>
      </w:rPr>
    </w:lvl>
    <w:lvl w:ilvl="1">
      <w:start w:val="1"/>
      <w:numFmt w:val="decimal"/>
      <w:pStyle w:val="Task"/>
      <w:lvlText w:val="Feladat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Esettanulmány %1"/>
      <w:lvlJc w:val="left"/>
      <w:pPr>
        <w:ind w:left="0" w:firstLine="0"/>
      </w:pPr>
      <w:rPr>
        <w:rFonts w:hint="default"/>
      </w:rPr>
    </w:lvl>
    <w:lvl w:ilvl="1">
      <w:start w:val="1"/>
      <w:numFmt w:val="decimal"/>
      <w:lvlRestart w:val="0"/>
      <w:suff w:val="space"/>
      <w:lvlText w:val="Szemléltető eszköz %2"/>
      <w:lvlJc w:val="left"/>
      <w:pPr>
        <w:ind w:left="0" w:firstLine="0"/>
      </w:pPr>
      <w:rPr>
        <w:rFonts w:hint="default"/>
      </w:rPr>
    </w:lvl>
    <w:lvl w:ilvl="2">
      <w:start w:val="1"/>
      <w:numFmt w:val="decimal"/>
      <w:lvlRestart w:val="0"/>
      <w:suff w:val="space"/>
      <w:lvlText w:val="Konklúziók"/>
      <w:lvlJc w:val="left"/>
      <w:pPr>
        <w:ind w:left="0" w:firstLine="0"/>
      </w:pPr>
      <w:rPr>
        <w:rFonts w:hint="default"/>
      </w:rPr>
    </w:lvl>
    <w:lvl w:ilvl="3">
      <w:start w:val="1"/>
      <w:numFmt w:val="decimal"/>
      <w:lvlRestart w:val="0"/>
      <w:suff w:val="space"/>
      <w:lvlText w:val="Javaslat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pStyle w:val="berschrift4"/>
      <w:lvlText w:val="%1.%2.%3.%4."/>
      <w:lvlJc w:val="left"/>
      <w:pPr>
        <w:ind w:left="1728" w:hanging="648"/>
      </w:pPr>
    </w:lvl>
    <w:lvl w:ilvl="4">
      <w:start w:val="1"/>
      <w:numFmt w:val="decimal"/>
      <w:pStyle w:val="berschrift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Ábra %1.%5"/>
      <w:lvlJc w:val="left"/>
      <w:pPr>
        <w:ind w:left="1928" w:hanging="1077"/>
      </w:pPr>
      <w:rPr>
        <w:rFonts w:ascii="Georgia" w:hAnsi="Georgia" w:cs="Georgia" w:hint="default"/>
        <w:color w:val="0067AC"/>
      </w:rPr>
    </w:lvl>
    <w:lvl w:ilvl="5">
      <w:start w:val="1"/>
      <w:numFmt w:val="decimal"/>
      <w:lvlRestart w:val="0"/>
      <w:lvlText w:val="Tartalom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Esettanulmán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Melléklet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
      <w:lvlJc w:val="left"/>
      <w:pPr>
        <w:tabs>
          <w:tab w:val="num" w:pos="851"/>
        </w:tabs>
        <w:ind w:left="851" w:hanging="851"/>
      </w:pPr>
      <w:rPr>
        <w:rFonts w:hint="default"/>
      </w:rPr>
    </w:lvl>
    <w:lvl w:ilvl="3">
      <w:start w:val="1"/>
      <w:numFmt w:val="decimal"/>
      <w:lvlText w:val="A%1.%2"/>
      <w:lvlJc w:val="left"/>
      <w:pPr>
        <w:tabs>
          <w:tab w:val="num" w:pos="851"/>
        </w:tabs>
        <w:ind w:left="851" w:hanging="851"/>
      </w:pPr>
      <w:rPr>
        <w:rFonts w:hint="default"/>
      </w:rPr>
    </w:lvl>
    <w:lvl w:ilvl="4">
      <w:start w:val="1"/>
      <w:numFmt w:val="decimal"/>
      <w:lvlRestart w:val="0"/>
      <w:lvlText w:val="Tartalom A %1.%5"/>
      <w:lvlJc w:val="left"/>
      <w:pPr>
        <w:tabs>
          <w:tab w:val="num" w:pos="1247"/>
        </w:tabs>
        <w:ind w:left="1247" w:hanging="1247"/>
      </w:pPr>
      <w:rPr>
        <w:rFonts w:hint="default"/>
      </w:rPr>
    </w:lvl>
    <w:lvl w:ilvl="5">
      <w:start w:val="1"/>
      <w:numFmt w:val="decimal"/>
      <w:lvlRestart w:val="0"/>
      <w:lvlText w:val="Ábra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Esettanulmány %1"/>
      <w:lvlJc w:val="left"/>
      <w:rPr>
        <w:rFonts w:hint="default"/>
      </w:rPr>
    </w:lvl>
    <w:lvl w:ilvl="1">
      <w:start w:val="1"/>
      <w:numFmt w:val="decimal"/>
      <w:lvlRestart w:val="0"/>
      <w:suff w:val="space"/>
      <w:lvlText w:val="Szemléltető eszköz %2"/>
      <w:lvlJc w:val="left"/>
      <w:rPr>
        <w:rFonts w:hint="default"/>
      </w:rPr>
    </w:lvl>
    <w:lvl w:ilvl="2">
      <w:start w:val="1"/>
      <w:numFmt w:val="decimal"/>
      <w:lvlRestart w:val="0"/>
      <w:suff w:val="space"/>
      <w:lvlText w:val="Konklúziók"/>
      <w:lvlJc w:val="left"/>
      <w:rPr>
        <w:rFonts w:hint="default"/>
      </w:rPr>
    </w:lvl>
    <w:lvl w:ilvl="3">
      <w:start w:val="1"/>
      <w:numFmt w:val="decimal"/>
      <w:lvlRestart w:val="0"/>
      <w:suff w:val="space"/>
      <w:lvlText w:val="Javaslat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rtalom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
      <w:lvlJc w:val="left"/>
      <w:pPr>
        <w:tabs>
          <w:tab w:val="num" w:pos="851"/>
        </w:tabs>
        <w:ind w:left="851" w:hanging="851"/>
      </w:pPr>
      <w:rPr>
        <w:rFonts w:hint="default"/>
      </w:rPr>
    </w:lvl>
    <w:lvl w:ilvl="2">
      <w:start w:val="1"/>
      <w:numFmt w:val="decimal"/>
      <w:lvlText w:val="ES%1"/>
      <w:lvlJc w:val="left"/>
      <w:pPr>
        <w:tabs>
          <w:tab w:val="num" w:pos="851"/>
        </w:tabs>
        <w:ind w:left="851" w:hanging="851"/>
      </w:pPr>
      <w:rPr>
        <w:rFonts w:hint="default"/>
      </w:rPr>
    </w:lvl>
    <w:lvl w:ilvl="3">
      <w:start w:val="1"/>
      <w:numFmt w:val="decimal"/>
      <w:lvlRestart w:val="0"/>
      <w:lvlText w:val="Tartalom ES %1.%4"/>
      <w:lvlJc w:val="left"/>
      <w:pPr>
        <w:tabs>
          <w:tab w:val="num" w:pos="1985"/>
        </w:tabs>
        <w:ind w:left="1985" w:hanging="1134"/>
      </w:pPr>
      <w:rPr>
        <w:rFonts w:hint="default"/>
      </w:rPr>
    </w:lvl>
    <w:lvl w:ilvl="4">
      <w:start w:val="1"/>
      <w:numFmt w:val="decimal"/>
      <w:lvlText w:val="Ábra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081"/>
    <w:rsid w:val="000715F8"/>
    <w:rsid w:val="00073EF0"/>
    <w:rsid w:val="00075B95"/>
    <w:rsid w:val="00075DD0"/>
    <w:rsid w:val="000770C0"/>
    <w:rsid w:val="00080152"/>
    <w:rsid w:val="000828EB"/>
    <w:rsid w:val="00083806"/>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4A9"/>
    <w:rsid w:val="000B5542"/>
    <w:rsid w:val="000B738F"/>
    <w:rsid w:val="000B7B34"/>
    <w:rsid w:val="000B7C35"/>
    <w:rsid w:val="000C43B2"/>
    <w:rsid w:val="000C4B0C"/>
    <w:rsid w:val="000D354F"/>
    <w:rsid w:val="000D3CAB"/>
    <w:rsid w:val="000D3EB9"/>
    <w:rsid w:val="000D4ABF"/>
    <w:rsid w:val="000E07B2"/>
    <w:rsid w:val="000E09FD"/>
    <w:rsid w:val="000E1441"/>
    <w:rsid w:val="000E2B5C"/>
    <w:rsid w:val="000E3DA6"/>
    <w:rsid w:val="000E5D1E"/>
    <w:rsid w:val="000F2DA6"/>
    <w:rsid w:val="000F7B8B"/>
    <w:rsid w:val="000F7EC6"/>
    <w:rsid w:val="00103E28"/>
    <w:rsid w:val="0011071D"/>
    <w:rsid w:val="00111107"/>
    <w:rsid w:val="001114E8"/>
    <w:rsid w:val="001131EA"/>
    <w:rsid w:val="00113C9D"/>
    <w:rsid w:val="00115DE7"/>
    <w:rsid w:val="00116561"/>
    <w:rsid w:val="00123D34"/>
    <w:rsid w:val="00124BD0"/>
    <w:rsid w:val="00130412"/>
    <w:rsid w:val="00130939"/>
    <w:rsid w:val="00135A32"/>
    <w:rsid w:val="00136425"/>
    <w:rsid w:val="00136810"/>
    <w:rsid w:val="001368BD"/>
    <w:rsid w:val="001368FE"/>
    <w:rsid w:val="00141A81"/>
    <w:rsid w:val="00141AD4"/>
    <w:rsid w:val="00143F2D"/>
    <w:rsid w:val="00146C58"/>
    <w:rsid w:val="00147D47"/>
    <w:rsid w:val="001511CA"/>
    <w:rsid w:val="00151369"/>
    <w:rsid w:val="00151F29"/>
    <w:rsid w:val="00152CBD"/>
    <w:rsid w:val="00154295"/>
    <w:rsid w:val="00156837"/>
    <w:rsid w:val="001578B7"/>
    <w:rsid w:val="00162245"/>
    <w:rsid w:val="001648BF"/>
    <w:rsid w:val="0016497D"/>
    <w:rsid w:val="00165091"/>
    <w:rsid w:val="00165CAF"/>
    <w:rsid w:val="0017020D"/>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3327"/>
    <w:rsid w:val="001A54F0"/>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5E06"/>
    <w:rsid w:val="001E6E8A"/>
    <w:rsid w:val="001F0E31"/>
    <w:rsid w:val="001F133B"/>
    <w:rsid w:val="001F211C"/>
    <w:rsid w:val="001F58AC"/>
    <w:rsid w:val="001F594E"/>
    <w:rsid w:val="001F67DB"/>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6F0E"/>
    <w:rsid w:val="0021794D"/>
    <w:rsid w:val="002179F1"/>
    <w:rsid w:val="002211C2"/>
    <w:rsid w:val="002217CA"/>
    <w:rsid w:val="002218E7"/>
    <w:rsid w:val="00222991"/>
    <w:rsid w:val="00223716"/>
    <w:rsid w:val="002248F3"/>
    <w:rsid w:val="00224970"/>
    <w:rsid w:val="00227053"/>
    <w:rsid w:val="00227858"/>
    <w:rsid w:val="002304DB"/>
    <w:rsid w:val="00230DE9"/>
    <w:rsid w:val="002321AF"/>
    <w:rsid w:val="00232CAE"/>
    <w:rsid w:val="00232D07"/>
    <w:rsid w:val="00233778"/>
    <w:rsid w:val="00234128"/>
    <w:rsid w:val="00237A5B"/>
    <w:rsid w:val="00241C30"/>
    <w:rsid w:val="00242A37"/>
    <w:rsid w:val="0024460B"/>
    <w:rsid w:val="00244FC3"/>
    <w:rsid w:val="0024644F"/>
    <w:rsid w:val="0024796D"/>
    <w:rsid w:val="00250907"/>
    <w:rsid w:val="00253082"/>
    <w:rsid w:val="00254E0B"/>
    <w:rsid w:val="00255570"/>
    <w:rsid w:val="00256B5A"/>
    <w:rsid w:val="00256BC8"/>
    <w:rsid w:val="002571B4"/>
    <w:rsid w:val="00262CB1"/>
    <w:rsid w:val="00263351"/>
    <w:rsid w:val="00263F80"/>
    <w:rsid w:val="00264A31"/>
    <w:rsid w:val="00266AB0"/>
    <w:rsid w:val="002675C0"/>
    <w:rsid w:val="002675FB"/>
    <w:rsid w:val="00273225"/>
    <w:rsid w:val="00274D84"/>
    <w:rsid w:val="00275998"/>
    <w:rsid w:val="00277D07"/>
    <w:rsid w:val="0028150B"/>
    <w:rsid w:val="00281FA6"/>
    <w:rsid w:val="00285062"/>
    <w:rsid w:val="00285081"/>
    <w:rsid w:val="002871E0"/>
    <w:rsid w:val="00287D9E"/>
    <w:rsid w:val="00290380"/>
    <w:rsid w:val="0029157B"/>
    <w:rsid w:val="00292A18"/>
    <w:rsid w:val="00292C2B"/>
    <w:rsid w:val="00293E14"/>
    <w:rsid w:val="00295164"/>
    <w:rsid w:val="002966CF"/>
    <w:rsid w:val="002978F8"/>
    <w:rsid w:val="002A2234"/>
    <w:rsid w:val="002A32AD"/>
    <w:rsid w:val="002A476C"/>
    <w:rsid w:val="002A4F65"/>
    <w:rsid w:val="002A6262"/>
    <w:rsid w:val="002B0C2C"/>
    <w:rsid w:val="002B29C2"/>
    <w:rsid w:val="002B3B7F"/>
    <w:rsid w:val="002B53C0"/>
    <w:rsid w:val="002B56FB"/>
    <w:rsid w:val="002B6870"/>
    <w:rsid w:val="002B7227"/>
    <w:rsid w:val="002B7716"/>
    <w:rsid w:val="002C18E1"/>
    <w:rsid w:val="002C1AFA"/>
    <w:rsid w:val="002C44BC"/>
    <w:rsid w:val="002C4B6F"/>
    <w:rsid w:val="002D0440"/>
    <w:rsid w:val="002D27B6"/>
    <w:rsid w:val="002D3535"/>
    <w:rsid w:val="002D48BF"/>
    <w:rsid w:val="002D4CFB"/>
    <w:rsid w:val="002D7FF1"/>
    <w:rsid w:val="002E0758"/>
    <w:rsid w:val="002E3C7C"/>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07966"/>
    <w:rsid w:val="0031065A"/>
    <w:rsid w:val="003107D0"/>
    <w:rsid w:val="003114F4"/>
    <w:rsid w:val="00311ECA"/>
    <w:rsid w:val="00312372"/>
    <w:rsid w:val="00312E80"/>
    <w:rsid w:val="00313589"/>
    <w:rsid w:val="003150A0"/>
    <w:rsid w:val="003154F1"/>
    <w:rsid w:val="00315CC6"/>
    <w:rsid w:val="003164B9"/>
    <w:rsid w:val="0032006A"/>
    <w:rsid w:val="003220A6"/>
    <w:rsid w:val="00323685"/>
    <w:rsid w:val="0032396D"/>
    <w:rsid w:val="00323E73"/>
    <w:rsid w:val="003309B6"/>
    <w:rsid w:val="00331149"/>
    <w:rsid w:val="0033183B"/>
    <w:rsid w:val="00331A46"/>
    <w:rsid w:val="003372FB"/>
    <w:rsid w:val="0033791B"/>
    <w:rsid w:val="0034310E"/>
    <w:rsid w:val="003431D2"/>
    <w:rsid w:val="00343EA0"/>
    <w:rsid w:val="00344C48"/>
    <w:rsid w:val="00345D63"/>
    <w:rsid w:val="003477AD"/>
    <w:rsid w:val="003503D4"/>
    <w:rsid w:val="00350C79"/>
    <w:rsid w:val="00351252"/>
    <w:rsid w:val="00351CC0"/>
    <w:rsid w:val="00354098"/>
    <w:rsid w:val="00355633"/>
    <w:rsid w:val="00355A89"/>
    <w:rsid w:val="0035642A"/>
    <w:rsid w:val="003615B0"/>
    <w:rsid w:val="00361A03"/>
    <w:rsid w:val="00362DAA"/>
    <w:rsid w:val="00364C19"/>
    <w:rsid w:val="00367A05"/>
    <w:rsid w:val="00370C6A"/>
    <w:rsid w:val="003733D6"/>
    <w:rsid w:val="003740C4"/>
    <w:rsid w:val="00374E53"/>
    <w:rsid w:val="00375794"/>
    <w:rsid w:val="003760DC"/>
    <w:rsid w:val="003761DB"/>
    <w:rsid w:val="003763D1"/>
    <w:rsid w:val="0037767F"/>
    <w:rsid w:val="003777D6"/>
    <w:rsid w:val="00380200"/>
    <w:rsid w:val="00381826"/>
    <w:rsid w:val="00382B4F"/>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E6C68"/>
    <w:rsid w:val="003F2BEF"/>
    <w:rsid w:val="003F388F"/>
    <w:rsid w:val="003F3AF2"/>
    <w:rsid w:val="003F5007"/>
    <w:rsid w:val="003F5E21"/>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65A6"/>
    <w:rsid w:val="00426708"/>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311"/>
    <w:rsid w:val="0045799C"/>
    <w:rsid w:val="00457F5F"/>
    <w:rsid w:val="00457FBA"/>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80F"/>
    <w:rsid w:val="00482F4C"/>
    <w:rsid w:val="004841F0"/>
    <w:rsid w:val="00490B9C"/>
    <w:rsid w:val="004911E8"/>
    <w:rsid w:val="0049192B"/>
    <w:rsid w:val="00492108"/>
    <w:rsid w:val="00492BA9"/>
    <w:rsid w:val="00494045"/>
    <w:rsid w:val="004945A1"/>
    <w:rsid w:val="0049463C"/>
    <w:rsid w:val="004947C5"/>
    <w:rsid w:val="00495771"/>
    <w:rsid w:val="00497505"/>
    <w:rsid w:val="00497E94"/>
    <w:rsid w:val="004A00A7"/>
    <w:rsid w:val="004A0C3E"/>
    <w:rsid w:val="004A1645"/>
    <w:rsid w:val="004A2CB9"/>
    <w:rsid w:val="004A32C7"/>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3AAF"/>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000D"/>
    <w:rsid w:val="005255A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2DAB"/>
    <w:rsid w:val="00555BB7"/>
    <w:rsid w:val="00561B22"/>
    <w:rsid w:val="00561C94"/>
    <w:rsid w:val="0056533B"/>
    <w:rsid w:val="00567670"/>
    <w:rsid w:val="00567DBA"/>
    <w:rsid w:val="0057033C"/>
    <w:rsid w:val="00571D3A"/>
    <w:rsid w:val="00572207"/>
    <w:rsid w:val="00575585"/>
    <w:rsid w:val="00577C28"/>
    <w:rsid w:val="0058118F"/>
    <w:rsid w:val="005838F5"/>
    <w:rsid w:val="00584E4B"/>
    <w:rsid w:val="00585724"/>
    <w:rsid w:val="00585D50"/>
    <w:rsid w:val="005860AC"/>
    <w:rsid w:val="005900F5"/>
    <w:rsid w:val="00590535"/>
    <w:rsid w:val="00590FEF"/>
    <w:rsid w:val="00593AAF"/>
    <w:rsid w:val="00593CD2"/>
    <w:rsid w:val="00597DCA"/>
    <w:rsid w:val="00597F71"/>
    <w:rsid w:val="005A058A"/>
    <w:rsid w:val="005A21E6"/>
    <w:rsid w:val="005A4595"/>
    <w:rsid w:val="005A5E6E"/>
    <w:rsid w:val="005A5E86"/>
    <w:rsid w:val="005A6401"/>
    <w:rsid w:val="005A74CD"/>
    <w:rsid w:val="005A75CC"/>
    <w:rsid w:val="005B10E4"/>
    <w:rsid w:val="005B1DD5"/>
    <w:rsid w:val="005B3D83"/>
    <w:rsid w:val="005B5B2C"/>
    <w:rsid w:val="005B6F84"/>
    <w:rsid w:val="005C0948"/>
    <w:rsid w:val="005C09F2"/>
    <w:rsid w:val="005C13C9"/>
    <w:rsid w:val="005C1A89"/>
    <w:rsid w:val="005C219F"/>
    <w:rsid w:val="005C3B69"/>
    <w:rsid w:val="005C4E68"/>
    <w:rsid w:val="005C5310"/>
    <w:rsid w:val="005C7DD1"/>
    <w:rsid w:val="005C7FF6"/>
    <w:rsid w:val="005D0C93"/>
    <w:rsid w:val="005D1643"/>
    <w:rsid w:val="005D2BAD"/>
    <w:rsid w:val="005D3292"/>
    <w:rsid w:val="005D41A0"/>
    <w:rsid w:val="005D5CAD"/>
    <w:rsid w:val="005E0B66"/>
    <w:rsid w:val="005E0D19"/>
    <w:rsid w:val="005E19EB"/>
    <w:rsid w:val="005E1D28"/>
    <w:rsid w:val="005E214E"/>
    <w:rsid w:val="005E2D29"/>
    <w:rsid w:val="005E351D"/>
    <w:rsid w:val="005E5044"/>
    <w:rsid w:val="005E516B"/>
    <w:rsid w:val="005E5FAF"/>
    <w:rsid w:val="005F0456"/>
    <w:rsid w:val="005F359B"/>
    <w:rsid w:val="005F3EAF"/>
    <w:rsid w:val="005F5789"/>
    <w:rsid w:val="005F6076"/>
    <w:rsid w:val="005F74B7"/>
    <w:rsid w:val="006027E3"/>
    <w:rsid w:val="00602884"/>
    <w:rsid w:val="00604B45"/>
    <w:rsid w:val="00606D1D"/>
    <w:rsid w:val="00611352"/>
    <w:rsid w:val="00615FD3"/>
    <w:rsid w:val="006176C9"/>
    <w:rsid w:val="006231F6"/>
    <w:rsid w:val="00624BE1"/>
    <w:rsid w:val="006251F5"/>
    <w:rsid w:val="00626542"/>
    <w:rsid w:val="00632B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001"/>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843A3"/>
    <w:rsid w:val="00686D0C"/>
    <w:rsid w:val="00693BA0"/>
    <w:rsid w:val="00695654"/>
    <w:rsid w:val="00696F67"/>
    <w:rsid w:val="006A2179"/>
    <w:rsid w:val="006A3C94"/>
    <w:rsid w:val="006A3E29"/>
    <w:rsid w:val="006A56CB"/>
    <w:rsid w:val="006A577B"/>
    <w:rsid w:val="006A6862"/>
    <w:rsid w:val="006A7D56"/>
    <w:rsid w:val="006B0413"/>
    <w:rsid w:val="006B055A"/>
    <w:rsid w:val="006B0BF8"/>
    <w:rsid w:val="006B2BA5"/>
    <w:rsid w:val="006B3239"/>
    <w:rsid w:val="006B3502"/>
    <w:rsid w:val="006B4414"/>
    <w:rsid w:val="006B50DF"/>
    <w:rsid w:val="006B5B40"/>
    <w:rsid w:val="006B61C2"/>
    <w:rsid w:val="006B67B8"/>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19B3"/>
    <w:rsid w:val="00712093"/>
    <w:rsid w:val="00712B1D"/>
    <w:rsid w:val="007164A1"/>
    <w:rsid w:val="0072383D"/>
    <w:rsid w:val="007253EB"/>
    <w:rsid w:val="00726D9E"/>
    <w:rsid w:val="007301D5"/>
    <w:rsid w:val="007308B7"/>
    <w:rsid w:val="00730B9E"/>
    <w:rsid w:val="007317A6"/>
    <w:rsid w:val="00731E5E"/>
    <w:rsid w:val="0073396D"/>
    <w:rsid w:val="00735247"/>
    <w:rsid w:val="007353F1"/>
    <w:rsid w:val="0073548D"/>
    <w:rsid w:val="00735881"/>
    <w:rsid w:val="007358C8"/>
    <w:rsid w:val="00736424"/>
    <w:rsid w:val="007364F4"/>
    <w:rsid w:val="00740B76"/>
    <w:rsid w:val="00740F76"/>
    <w:rsid w:val="0074120F"/>
    <w:rsid w:val="00743257"/>
    <w:rsid w:val="007460B2"/>
    <w:rsid w:val="0074774D"/>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67D46"/>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303"/>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7FB"/>
    <w:rsid w:val="007C6EC2"/>
    <w:rsid w:val="007C7251"/>
    <w:rsid w:val="007D0198"/>
    <w:rsid w:val="007D102E"/>
    <w:rsid w:val="007D2065"/>
    <w:rsid w:val="007D5EAC"/>
    <w:rsid w:val="007D6384"/>
    <w:rsid w:val="007E10DF"/>
    <w:rsid w:val="007E2584"/>
    <w:rsid w:val="007E29C0"/>
    <w:rsid w:val="007E2E3F"/>
    <w:rsid w:val="007E7C01"/>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0497"/>
    <w:rsid w:val="0081152C"/>
    <w:rsid w:val="00811BF0"/>
    <w:rsid w:val="0081407D"/>
    <w:rsid w:val="00814231"/>
    <w:rsid w:val="00814DBB"/>
    <w:rsid w:val="0081612E"/>
    <w:rsid w:val="00820F49"/>
    <w:rsid w:val="00822654"/>
    <w:rsid w:val="00822892"/>
    <w:rsid w:val="008306C1"/>
    <w:rsid w:val="00830E59"/>
    <w:rsid w:val="0083171A"/>
    <w:rsid w:val="00832852"/>
    <w:rsid w:val="008328EE"/>
    <w:rsid w:val="0083380D"/>
    <w:rsid w:val="008355D9"/>
    <w:rsid w:val="00836766"/>
    <w:rsid w:val="00836986"/>
    <w:rsid w:val="008379EE"/>
    <w:rsid w:val="0084051B"/>
    <w:rsid w:val="00841B83"/>
    <w:rsid w:val="00841D87"/>
    <w:rsid w:val="008421A5"/>
    <w:rsid w:val="00844A98"/>
    <w:rsid w:val="00844B2C"/>
    <w:rsid w:val="00844FAF"/>
    <w:rsid w:val="0084572E"/>
    <w:rsid w:val="00846696"/>
    <w:rsid w:val="00847188"/>
    <w:rsid w:val="00847FCF"/>
    <w:rsid w:val="008510B2"/>
    <w:rsid w:val="008513EF"/>
    <w:rsid w:val="00851AE0"/>
    <w:rsid w:val="00852752"/>
    <w:rsid w:val="00855381"/>
    <w:rsid w:val="0085593C"/>
    <w:rsid w:val="00855AFA"/>
    <w:rsid w:val="00855E45"/>
    <w:rsid w:val="008563EE"/>
    <w:rsid w:val="0086268F"/>
    <w:rsid w:val="0086339F"/>
    <w:rsid w:val="00863B09"/>
    <w:rsid w:val="00864D4F"/>
    <w:rsid w:val="00864DF4"/>
    <w:rsid w:val="00867C47"/>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52EB"/>
    <w:rsid w:val="008962B4"/>
    <w:rsid w:val="0089638F"/>
    <w:rsid w:val="008A3180"/>
    <w:rsid w:val="008A3AFA"/>
    <w:rsid w:val="008A7BF2"/>
    <w:rsid w:val="008B17AA"/>
    <w:rsid w:val="008B2346"/>
    <w:rsid w:val="008B3533"/>
    <w:rsid w:val="008B3CE4"/>
    <w:rsid w:val="008B617E"/>
    <w:rsid w:val="008B62EC"/>
    <w:rsid w:val="008B724F"/>
    <w:rsid w:val="008B7B66"/>
    <w:rsid w:val="008C1929"/>
    <w:rsid w:val="008C2FC2"/>
    <w:rsid w:val="008C3705"/>
    <w:rsid w:val="008C4AB2"/>
    <w:rsid w:val="008C51A1"/>
    <w:rsid w:val="008C6675"/>
    <w:rsid w:val="008C671B"/>
    <w:rsid w:val="008C69F4"/>
    <w:rsid w:val="008D0697"/>
    <w:rsid w:val="008D1672"/>
    <w:rsid w:val="008D17C3"/>
    <w:rsid w:val="008D2DA9"/>
    <w:rsid w:val="008D4A26"/>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46B"/>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03F"/>
    <w:rsid w:val="00992932"/>
    <w:rsid w:val="00992BB7"/>
    <w:rsid w:val="00993345"/>
    <w:rsid w:val="00993A29"/>
    <w:rsid w:val="00995C41"/>
    <w:rsid w:val="00996088"/>
    <w:rsid w:val="009978C2"/>
    <w:rsid w:val="009A072C"/>
    <w:rsid w:val="009A1256"/>
    <w:rsid w:val="009A1AE0"/>
    <w:rsid w:val="009A35D4"/>
    <w:rsid w:val="009A74B5"/>
    <w:rsid w:val="009A75D7"/>
    <w:rsid w:val="009B1E14"/>
    <w:rsid w:val="009B57E5"/>
    <w:rsid w:val="009B5884"/>
    <w:rsid w:val="009B6529"/>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CDB"/>
    <w:rsid w:val="009F0F74"/>
    <w:rsid w:val="009F15C5"/>
    <w:rsid w:val="009F3599"/>
    <w:rsid w:val="009F3764"/>
    <w:rsid w:val="009F479B"/>
    <w:rsid w:val="009F500C"/>
    <w:rsid w:val="009F55DA"/>
    <w:rsid w:val="009F5875"/>
    <w:rsid w:val="009F5EDF"/>
    <w:rsid w:val="009F621C"/>
    <w:rsid w:val="009F7003"/>
    <w:rsid w:val="009F75F8"/>
    <w:rsid w:val="009F7787"/>
    <w:rsid w:val="009F7B91"/>
    <w:rsid w:val="009F7BD8"/>
    <w:rsid w:val="00A0040C"/>
    <w:rsid w:val="00A008E3"/>
    <w:rsid w:val="00A009FA"/>
    <w:rsid w:val="00A012C1"/>
    <w:rsid w:val="00A049CC"/>
    <w:rsid w:val="00A06420"/>
    <w:rsid w:val="00A069E4"/>
    <w:rsid w:val="00A07472"/>
    <w:rsid w:val="00A103C5"/>
    <w:rsid w:val="00A11851"/>
    <w:rsid w:val="00A12138"/>
    <w:rsid w:val="00A133AB"/>
    <w:rsid w:val="00A14F7D"/>
    <w:rsid w:val="00A17BF9"/>
    <w:rsid w:val="00A21150"/>
    <w:rsid w:val="00A212F2"/>
    <w:rsid w:val="00A2209A"/>
    <w:rsid w:val="00A233A7"/>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0671"/>
    <w:rsid w:val="00A41C86"/>
    <w:rsid w:val="00A4212A"/>
    <w:rsid w:val="00A4330C"/>
    <w:rsid w:val="00A433E2"/>
    <w:rsid w:val="00A43447"/>
    <w:rsid w:val="00A43A70"/>
    <w:rsid w:val="00A447DA"/>
    <w:rsid w:val="00A4524A"/>
    <w:rsid w:val="00A46279"/>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8F0"/>
    <w:rsid w:val="00A82F1E"/>
    <w:rsid w:val="00A83C81"/>
    <w:rsid w:val="00A83C8A"/>
    <w:rsid w:val="00A86B74"/>
    <w:rsid w:val="00A86C45"/>
    <w:rsid w:val="00A86EF2"/>
    <w:rsid w:val="00A877B5"/>
    <w:rsid w:val="00A9159C"/>
    <w:rsid w:val="00A9265E"/>
    <w:rsid w:val="00A94F1B"/>
    <w:rsid w:val="00A96834"/>
    <w:rsid w:val="00A970A6"/>
    <w:rsid w:val="00AA0198"/>
    <w:rsid w:val="00AA0296"/>
    <w:rsid w:val="00AA0F7E"/>
    <w:rsid w:val="00AA3182"/>
    <w:rsid w:val="00AA4089"/>
    <w:rsid w:val="00AA5261"/>
    <w:rsid w:val="00AA570A"/>
    <w:rsid w:val="00AA618C"/>
    <w:rsid w:val="00AA63C9"/>
    <w:rsid w:val="00AA7264"/>
    <w:rsid w:val="00AB02BF"/>
    <w:rsid w:val="00AB06AA"/>
    <w:rsid w:val="00AB22DC"/>
    <w:rsid w:val="00AB465F"/>
    <w:rsid w:val="00AB56F8"/>
    <w:rsid w:val="00AB6BC1"/>
    <w:rsid w:val="00AB7D8A"/>
    <w:rsid w:val="00AC0A1C"/>
    <w:rsid w:val="00AC1B2B"/>
    <w:rsid w:val="00AC43C7"/>
    <w:rsid w:val="00AC7A98"/>
    <w:rsid w:val="00AD0752"/>
    <w:rsid w:val="00AD4CF3"/>
    <w:rsid w:val="00AD53A7"/>
    <w:rsid w:val="00AD5A0F"/>
    <w:rsid w:val="00AD7457"/>
    <w:rsid w:val="00AE0928"/>
    <w:rsid w:val="00AE0A71"/>
    <w:rsid w:val="00AE177B"/>
    <w:rsid w:val="00AE43F0"/>
    <w:rsid w:val="00AE4DD1"/>
    <w:rsid w:val="00AE74EA"/>
    <w:rsid w:val="00AE753D"/>
    <w:rsid w:val="00AE7C66"/>
    <w:rsid w:val="00AF1DBE"/>
    <w:rsid w:val="00AF2FCB"/>
    <w:rsid w:val="00AF49F7"/>
    <w:rsid w:val="00AF50E1"/>
    <w:rsid w:val="00AF6149"/>
    <w:rsid w:val="00B00021"/>
    <w:rsid w:val="00B00985"/>
    <w:rsid w:val="00B012B0"/>
    <w:rsid w:val="00B01443"/>
    <w:rsid w:val="00B02504"/>
    <w:rsid w:val="00B032F5"/>
    <w:rsid w:val="00B0683A"/>
    <w:rsid w:val="00B10C7F"/>
    <w:rsid w:val="00B13032"/>
    <w:rsid w:val="00B13A01"/>
    <w:rsid w:val="00B13D8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97B"/>
    <w:rsid w:val="00BA0B53"/>
    <w:rsid w:val="00BA1004"/>
    <w:rsid w:val="00BA1FC3"/>
    <w:rsid w:val="00BA26A0"/>
    <w:rsid w:val="00BA2854"/>
    <w:rsid w:val="00BA3521"/>
    <w:rsid w:val="00BA3657"/>
    <w:rsid w:val="00BA3EE4"/>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5DC7"/>
    <w:rsid w:val="00BE6A76"/>
    <w:rsid w:val="00BE70C8"/>
    <w:rsid w:val="00BE7AC3"/>
    <w:rsid w:val="00BF02A8"/>
    <w:rsid w:val="00BF0CB9"/>
    <w:rsid w:val="00BF1F16"/>
    <w:rsid w:val="00BF1FA4"/>
    <w:rsid w:val="00BF361E"/>
    <w:rsid w:val="00BF45DB"/>
    <w:rsid w:val="00BF4E7E"/>
    <w:rsid w:val="00BF5027"/>
    <w:rsid w:val="00BF691C"/>
    <w:rsid w:val="00BF6A3B"/>
    <w:rsid w:val="00C0140F"/>
    <w:rsid w:val="00C014A5"/>
    <w:rsid w:val="00C018EC"/>
    <w:rsid w:val="00C020D2"/>
    <w:rsid w:val="00C02EBB"/>
    <w:rsid w:val="00C0486A"/>
    <w:rsid w:val="00C0584E"/>
    <w:rsid w:val="00C058F8"/>
    <w:rsid w:val="00C06832"/>
    <w:rsid w:val="00C06A4D"/>
    <w:rsid w:val="00C1097E"/>
    <w:rsid w:val="00C1119A"/>
    <w:rsid w:val="00C1181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3440"/>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0E5"/>
    <w:rsid w:val="00CA3978"/>
    <w:rsid w:val="00CA57BD"/>
    <w:rsid w:val="00CA70C4"/>
    <w:rsid w:val="00CB1281"/>
    <w:rsid w:val="00CB19B0"/>
    <w:rsid w:val="00CB325A"/>
    <w:rsid w:val="00CB3BB9"/>
    <w:rsid w:val="00CB3DCB"/>
    <w:rsid w:val="00CB4C95"/>
    <w:rsid w:val="00CB4D91"/>
    <w:rsid w:val="00CB5597"/>
    <w:rsid w:val="00CC002C"/>
    <w:rsid w:val="00CC1D46"/>
    <w:rsid w:val="00CC2A89"/>
    <w:rsid w:val="00CC6760"/>
    <w:rsid w:val="00CC7DC6"/>
    <w:rsid w:val="00CD0B06"/>
    <w:rsid w:val="00CD2A67"/>
    <w:rsid w:val="00CD45A4"/>
    <w:rsid w:val="00CD57B7"/>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87C"/>
    <w:rsid w:val="00D20A54"/>
    <w:rsid w:val="00D212F3"/>
    <w:rsid w:val="00D238C4"/>
    <w:rsid w:val="00D24196"/>
    <w:rsid w:val="00D24E49"/>
    <w:rsid w:val="00D27A8F"/>
    <w:rsid w:val="00D303C2"/>
    <w:rsid w:val="00D305A3"/>
    <w:rsid w:val="00D30BD5"/>
    <w:rsid w:val="00D32694"/>
    <w:rsid w:val="00D32E6F"/>
    <w:rsid w:val="00D33C3A"/>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31E4"/>
    <w:rsid w:val="00D76235"/>
    <w:rsid w:val="00D802C4"/>
    <w:rsid w:val="00D8062D"/>
    <w:rsid w:val="00D81F02"/>
    <w:rsid w:val="00D822CE"/>
    <w:rsid w:val="00D82A32"/>
    <w:rsid w:val="00D838B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4D1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3CF"/>
    <w:rsid w:val="00E07DCC"/>
    <w:rsid w:val="00E1074B"/>
    <w:rsid w:val="00E10A92"/>
    <w:rsid w:val="00E13948"/>
    <w:rsid w:val="00E2016A"/>
    <w:rsid w:val="00E2037E"/>
    <w:rsid w:val="00E203C2"/>
    <w:rsid w:val="00E20823"/>
    <w:rsid w:val="00E20952"/>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865FE"/>
    <w:rsid w:val="00E9028F"/>
    <w:rsid w:val="00E917AF"/>
    <w:rsid w:val="00E9250F"/>
    <w:rsid w:val="00E95895"/>
    <w:rsid w:val="00E95BBC"/>
    <w:rsid w:val="00E95CCE"/>
    <w:rsid w:val="00E95ECD"/>
    <w:rsid w:val="00E97F75"/>
    <w:rsid w:val="00EA28AF"/>
    <w:rsid w:val="00EA40E6"/>
    <w:rsid w:val="00EA4DAB"/>
    <w:rsid w:val="00EA5625"/>
    <w:rsid w:val="00EA7956"/>
    <w:rsid w:val="00EB024A"/>
    <w:rsid w:val="00EB2984"/>
    <w:rsid w:val="00EB2E32"/>
    <w:rsid w:val="00EB333C"/>
    <w:rsid w:val="00EB37D7"/>
    <w:rsid w:val="00EB5DDA"/>
    <w:rsid w:val="00EB61BC"/>
    <w:rsid w:val="00EC089B"/>
    <w:rsid w:val="00EC140C"/>
    <w:rsid w:val="00EC18C4"/>
    <w:rsid w:val="00EC388D"/>
    <w:rsid w:val="00EC5882"/>
    <w:rsid w:val="00EC5A6D"/>
    <w:rsid w:val="00EC7B7F"/>
    <w:rsid w:val="00ED0151"/>
    <w:rsid w:val="00ED0340"/>
    <w:rsid w:val="00ED0541"/>
    <w:rsid w:val="00ED1983"/>
    <w:rsid w:val="00ED1ED5"/>
    <w:rsid w:val="00ED2BB7"/>
    <w:rsid w:val="00ED352A"/>
    <w:rsid w:val="00ED77CC"/>
    <w:rsid w:val="00EE035C"/>
    <w:rsid w:val="00EE2ADD"/>
    <w:rsid w:val="00EF11E6"/>
    <w:rsid w:val="00EF551D"/>
    <w:rsid w:val="00EF601A"/>
    <w:rsid w:val="00EF6DD6"/>
    <w:rsid w:val="00EF7B4E"/>
    <w:rsid w:val="00F02577"/>
    <w:rsid w:val="00F02969"/>
    <w:rsid w:val="00F02B14"/>
    <w:rsid w:val="00F0405B"/>
    <w:rsid w:val="00F04D64"/>
    <w:rsid w:val="00F1014E"/>
    <w:rsid w:val="00F12D35"/>
    <w:rsid w:val="00F13005"/>
    <w:rsid w:val="00F148E6"/>
    <w:rsid w:val="00F15966"/>
    <w:rsid w:val="00F16EA3"/>
    <w:rsid w:val="00F1729D"/>
    <w:rsid w:val="00F20AD2"/>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4237"/>
    <w:rsid w:val="00F971ED"/>
    <w:rsid w:val="00FA0F4A"/>
    <w:rsid w:val="00FA1535"/>
    <w:rsid w:val="00FA1FFF"/>
    <w:rsid w:val="00FA27F5"/>
    <w:rsid w:val="00FA6FA2"/>
    <w:rsid w:val="00FB0DB0"/>
    <w:rsid w:val="00FB6BB2"/>
    <w:rsid w:val="00FB7417"/>
    <w:rsid w:val="00FB74DE"/>
    <w:rsid w:val="00FB7CAA"/>
    <w:rsid w:val="00FC0A7D"/>
    <w:rsid w:val="00FC1E10"/>
    <w:rsid w:val="00FC52AE"/>
    <w:rsid w:val="00FC5EA5"/>
    <w:rsid w:val="00FC65E3"/>
    <w:rsid w:val="00FC74EB"/>
    <w:rsid w:val="00FC7D00"/>
    <w:rsid w:val="00FD1176"/>
    <w:rsid w:val="00FD1308"/>
    <w:rsid w:val="00FD2868"/>
    <w:rsid w:val="00FD3E10"/>
    <w:rsid w:val="00FD5DB5"/>
    <w:rsid w:val="00FD77B8"/>
    <w:rsid w:val="00FD7BAB"/>
    <w:rsid w:val="00FD7C7E"/>
    <w:rsid w:val="00FE09F7"/>
    <w:rsid w:val="00FE3370"/>
    <w:rsid w:val="00FE34E9"/>
    <w:rsid w:val="00FE405C"/>
    <w:rsid w:val="00FE5667"/>
    <w:rsid w:val="00FE6BAF"/>
    <w:rsid w:val="00FF01EB"/>
    <w:rsid w:val="00FF0610"/>
    <w:rsid w:val="00FF06D9"/>
    <w:rsid w:val="00FF1211"/>
    <w:rsid w:val="00FF166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D2E2D94C-E68E-45D8-A704-0F4C0AAB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3284"/>
    <w:pPr>
      <w:spacing w:before="120" w:after="120" w:line="240" w:lineRule="atLeast"/>
    </w:pPr>
    <w:rPr>
      <w:rFonts w:ascii="Arial" w:hAnsi="Arial" w:cs="Arial"/>
      <w:lang w:val="en-GB" w:eastAsia="en-US"/>
    </w:rPr>
  </w:style>
  <w:style w:type="paragraph" w:styleId="berschrift1">
    <w:name w:val="heading 1"/>
    <w:basedOn w:val="NormalLeftAligned"/>
    <w:next w:val="Textkrper"/>
    <w:link w:val="berschrift1Zchn"/>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berschrift2">
    <w:name w:val="heading 2"/>
    <w:basedOn w:val="NormalLeftAligned"/>
    <w:next w:val="Textkrper"/>
    <w:link w:val="berschrift2Zchn"/>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berschrift3">
    <w:name w:val="heading 3"/>
    <w:basedOn w:val="NormalLeftAligned"/>
    <w:next w:val="Textkrper"/>
    <w:link w:val="berschrift3Zchn"/>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berschrift4">
    <w:name w:val="heading 4"/>
    <w:basedOn w:val="NormalLeftAligned"/>
    <w:next w:val="Textkrper"/>
    <w:link w:val="berschrift4Zchn"/>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berschrift5">
    <w:name w:val="heading 5"/>
    <w:basedOn w:val="Standard"/>
    <w:next w:val="Standard"/>
    <w:link w:val="berschrift5Zchn"/>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berschrift6">
    <w:name w:val="heading 6"/>
    <w:basedOn w:val="Standard"/>
    <w:next w:val="Standard"/>
    <w:link w:val="berschrift6Zchn"/>
    <w:uiPriority w:val="99"/>
    <w:qFormat/>
    <w:rsid w:val="002248F3"/>
    <w:pPr>
      <w:keepNext/>
      <w:keepLines/>
      <w:spacing w:before="200" w:after="0"/>
      <w:outlineLvl w:val="5"/>
    </w:pPr>
    <w:rPr>
      <w:rFonts w:ascii="Calibri" w:eastAsia="Times New Roman" w:hAnsi="Calibri" w:cs="Calibri"/>
      <w:b/>
      <w:bCs/>
      <w:i/>
      <w:iCs/>
      <w:color w:val="0067AC"/>
    </w:rPr>
  </w:style>
  <w:style w:type="paragraph" w:styleId="berschrift7">
    <w:name w:val="heading 7"/>
    <w:basedOn w:val="Standard"/>
    <w:next w:val="Standard"/>
    <w:link w:val="berschrift7Zchn"/>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A43447"/>
    <w:rPr>
      <w:rFonts w:ascii="Calibri" w:eastAsia="Times New Roman" w:hAnsi="Calibri" w:cs="Calibri"/>
      <w:b/>
      <w:bCs/>
      <w:color w:val="0067AC"/>
      <w:sz w:val="32"/>
      <w:szCs w:val="32"/>
      <w:lang w:val="en-GB" w:eastAsia="en-US"/>
    </w:rPr>
  </w:style>
  <w:style w:type="character" w:customStyle="1" w:styleId="berschrift2Zchn">
    <w:name w:val="Überschrift 2 Zchn"/>
    <w:link w:val="berschrift2"/>
    <w:uiPriority w:val="99"/>
    <w:locked/>
    <w:rsid w:val="00A43447"/>
    <w:rPr>
      <w:rFonts w:ascii="Calibri" w:hAnsi="Calibri" w:cs="Calibri"/>
      <w:b/>
      <w:bCs/>
      <w:color w:val="0067AC"/>
      <w:sz w:val="26"/>
      <w:szCs w:val="26"/>
      <w:lang w:val="en-GB" w:eastAsia="en-US"/>
    </w:rPr>
  </w:style>
  <w:style w:type="character" w:customStyle="1" w:styleId="berschrift3Zchn">
    <w:name w:val="Überschrift 3 Zchn"/>
    <w:link w:val="berschrift3"/>
    <w:uiPriority w:val="99"/>
    <w:locked/>
    <w:rsid w:val="00A43447"/>
    <w:rPr>
      <w:rFonts w:ascii="Calibri" w:hAnsi="Calibri" w:cs="Calibri"/>
      <w:b/>
      <w:bCs/>
      <w:color w:val="0067AC"/>
      <w:sz w:val="22"/>
      <w:szCs w:val="22"/>
      <w:lang w:val="en-GB" w:eastAsia="en-US"/>
    </w:rPr>
  </w:style>
  <w:style w:type="character" w:customStyle="1" w:styleId="berschrift4Zchn">
    <w:name w:val="Überschrift 4 Zchn"/>
    <w:link w:val="berschrift4"/>
    <w:uiPriority w:val="99"/>
    <w:locked/>
    <w:rsid w:val="00A43447"/>
    <w:rPr>
      <w:rFonts w:ascii="Calibri" w:hAnsi="Calibri" w:cs="Calibri"/>
      <w:b/>
      <w:bCs/>
      <w:i/>
      <w:iCs/>
      <w:color w:val="0067AC"/>
      <w:sz w:val="22"/>
      <w:szCs w:val="22"/>
      <w:lang w:val="en-GB" w:eastAsia="en-US"/>
    </w:rPr>
  </w:style>
  <w:style w:type="character" w:customStyle="1" w:styleId="berschrift5Zchn">
    <w:name w:val="Überschrift 5 Zchn"/>
    <w:link w:val="berschrift5"/>
    <w:uiPriority w:val="99"/>
    <w:locked/>
    <w:rsid w:val="00A43447"/>
    <w:rPr>
      <w:rFonts w:ascii="Calibri" w:hAnsi="Calibri" w:cs="Calibri"/>
      <w:b/>
      <w:bCs/>
      <w:i/>
      <w:iCs/>
      <w:color w:val="0067AC"/>
      <w:sz w:val="22"/>
      <w:szCs w:val="22"/>
      <w:lang w:val="en-GB" w:eastAsia="en-US"/>
    </w:rPr>
  </w:style>
  <w:style w:type="character" w:customStyle="1" w:styleId="berschrift6Zchn">
    <w:name w:val="Überschrift 6 Zchn"/>
    <w:link w:val="berschrift6"/>
    <w:uiPriority w:val="99"/>
    <w:semiHidden/>
    <w:locked/>
    <w:rsid w:val="002248F3"/>
    <w:rPr>
      <w:rFonts w:ascii="Calibri" w:hAnsi="Calibri" w:cs="Calibri"/>
      <w:b/>
      <w:bCs/>
      <w:i/>
      <w:iCs/>
      <w:color w:val="0067AC"/>
      <w:sz w:val="24"/>
      <w:szCs w:val="24"/>
    </w:rPr>
  </w:style>
  <w:style w:type="paragraph" w:styleId="Blocktext">
    <w:name w:val="Block Text"/>
    <w:basedOn w:val="Standard"/>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Textkrper">
    <w:name w:val="Body Text"/>
    <w:basedOn w:val="Standard"/>
    <w:link w:val="TextkrperZchn"/>
    <w:uiPriority w:val="99"/>
    <w:rsid w:val="00561B22"/>
    <w:pPr>
      <w:ind w:left="851"/>
    </w:pPr>
  </w:style>
  <w:style w:type="character" w:customStyle="1" w:styleId="TextkrperZchn">
    <w:name w:val="Textkörper Zchn"/>
    <w:link w:val="Textkrper"/>
    <w:uiPriority w:val="99"/>
    <w:locked/>
    <w:rsid w:val="009F0478"/>
    <w:rPr>
      <w:rFonts w:ascii="Arial" w:hAnsi="Arial" w:cs="Arial"/>
      <w:sz w:val="24"/>
      <w:szCs w:val="24"/>
    </w:rPr>
  </w:style>
  <w:style w:type="paragraph" w:customStyle="1" w:styleId="Heading1NoNumb">
    <w:name w:val="Heading 1NoNumb"/>
    <w:aliases w:val="Heading1NoNumb"/>
    <w:basedOn w:val="berschrift1"/>
    <w:next w:val="Standard"/>
    <w:uiPriority w:val="99"/>
    <w:rsid w:val="009D7497"/>
    <w:pPr>
      <w:ind w:left="0" w:firstLine="0"/>
    </w:pPr>
  </w:style>
  <w:style w:type="paragraph" w:customStyle="1" w:styleId="Heading2NoNumb">
    <w:name w:val="Heading 2NoNumb"/>
    <w:aliases w:val="Heading2NoNumb"/>
    <w:basedOn w:val="berschrift2"/>
    <w:next w:val="Standard"/>
    <w:uiPriority w:val="99"/>
    <w:rsid w:val="005B10E4"/>
    <w:pPr>
      <w:numPr>
        <w:ilvl w:val="0"/>
        <w:numId w:val="0"/>
      </w:numPr>
    </w:pPr>
  </w:style>
  <w:style w:type="paragraph" w:customStyle="1" w:styleId="BTBullet1">
    <w:name w:val="BTBullet1"/>
    <w:basedOn w:val="Standard"/>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Textkrper"/>
    <w:uiPriority w:val="99"/>
    <w:rsid w:val="00A43447"/>
    <w:pPr>
      <w:keepNext/>
      <w:numPr>
        <w:ilvl w:val="5"/>
        <w:numId w:val="6"/>
      </w:numPr>
      <w:tabs>
        <w:tab w:val="num" w:pos="851"/>
      </w:tabs>
      <w:ind w:left="1928" w:hanging="1077"/>
    </w:pPr>
    <w:rPr>
      <w:rFonts w:ascii="Calibri" w:hAnsi="Calibri" w:cs="Calibri"/>
      <w:b/>
      <w:bCs/>
      <w:color w:val="0067AC"/>
    </w:rPr>
  </w:style>
  <w:style w:type="paragraph" w:styleId="Sprechblasentext">
    <w:name w:val="Balloon Text"/>
    <w:basedOn w:val="Standard"/>
    <w:link w:val="SprechblasentextZchn"/>
    <w:uiPriority w:val="99"/>
    <w:semiHidden/>
    <w:rsid w:val="006E235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AA63C9"/>
    <w:rPr>
      <w:rFonts w:ascii="Tahoma" w:hAnsi="Tahoma" w:cs="Tahoma"/>
      <w:sz w:val="16"/>
      <w:szCs w:val="16"/>
    </w:rPr>
  </w:style>
  <w:style w:type="paragraph" w:styleId="Kopfzeile">
    <w:name w:val="header"/>
    <w:basedOn w:val="NormalLeftAligned"/>
    <w:link w:val="KopfzeileZchn"/>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KopfzeileZchn">
    <w:name w:val="Kopfzeile Zchn"/>
    <w:link w:val="Kopfzeile"/>
    <w:uiPriority w:val="99"/>
    <w:semiHidden/>
    <w:locked/>
    <w:rsid w:val="00D822CE"/>
    <w:rPr>
      <w:rFonts w:ascii="Calibri" w:hAnsi="Calibri" w:cs="Calibri"/>
      <w:color w:val="0067AC"/>
      <w:sz w:val="24"/>
      <w:szCs w:val="24"/>
    </w:rPr>
  </w:style>
  <w:style w:type="paragraph" w:styleId="Fuzeile">
    <w:name w:val="footer"/>
    <w:basedOn w:val="NormalLeftAligned"/>
    <w:link w:val="FuzeileZchn"/>
    <w:uiPriority w:val="99"/>
    <w:semiHidden/>
    <w:rsid w:val="00313589"/>
    <w:pPr>
      <w:tabs>
        <w:tab w:val="right" w:pos="9072"/>
      </w:tabs>
      <w:spacing w:before="80" w:after="0" w:line="240" w:lineRule="auto"/>
    </w:pPr>
    <w:rPr>
      <w:sz w:val="16"/>
      <w:szCs w:val="16"/>
    </w:rPr>
  </w:style>
  <w:style w:type="character" w:customStyle="1" w:styleId="FuzeileZchn">
    <w:name w:val="Fußzeile Zchn"/>
    <w:link w:val="Fuzeile"/>
    <w:uiPriority w:val="99"/>
    <w:semiHidden/>
    <w:locked/>
    <w:rsid w:val="00313589"/>
    <w:rPr>
      <w:rFonts w:ascii="Arial" w:hAnsi="Arial" w:cs="Arial"/>
      <w:sz w:val="24"/>
      <w:szCs w:val="24"/>
    </w:rPr>
  </w:style>
  <w:style w:type="table" w:styleId="Tabellenraster">
    <w:name w:val="Table Grid"/>
    <w:basedOn w:val="NormaleTabelle"/>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itat">
    <w:name w:val="Quote"/>
    <w:basedOn w:val="Standard"/>
    <w:next w:val="Standard"/>
    <w:link w:val="ZitatZchn"/>
    <w:uiPriority w:val="99"/>
    <w:qFormat/>
    <w:rsid w:val="00E741E6"/>
    <w:pPr>
      <w:ind w:left="851"/>
    </w:pPr>
    <w:rPr>
      <w:i/>
      <w:iCs/>
      <w:color w:val="000000"/>
    </w:rPr>
  </w:style>
  <w:style w:type="character" w:customStyle="1" w:styleId="ZitatZchn">
    <w:name w:val="Zitat Zchn"/>
    <w:link w:val="Zitat"/>
    <w:uiPriority w:val="99"/>
    <w:locked/>
    <w:rsid w:val="00E741E6"/>
    <w:rPr>
      <w:rFonts w:ascii="Arial" w:hAnsi="Arial" w:cs="Arial"/>
      <w:i/>
      <w:iCs/>
      <w:color w:val="000000"/>
      <w:sz w:val="24"/>
      <w:szCs w:val="24"/>
    </w:rPr>
  </w:style>
  <w:style w:type="paragraph" w:customStyle="1" w:styleId="Table">
    <w:name w:val="Table"/>
    <w:basedOn w:val="Standard"/>
    <w:next w:val="Textkrper"/>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Textkrper"/>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Standard"/>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Standard"/>
    <w:link w:val="NumbListChar"/>
    <w:uiPriority w:val="99"/>
    <w:rsid w:val="00541215"/>
    <w:pPr>
      <w:spacing w:before="0" w:after="0"/>
      <w:ind w:left="340" w:hanging="340"/>
    </w:pPr>
  </w:style>
  <w:style w:type="paragraph" w:customStyle="1" w:styleId="FooterLand">
    <w:name w:val="FooterLand"/>
    <w:basedOn w:val="Fuzeile"/>
    <w:uiPriority w:val="99"/>
    <w:semiHidden/>
    <w:rsid w:val="007C5C91"/>
    <w:pPr>
      <w:tabs>
        <w:tab w:val="clear" w:pos="9072"/>
        <w:tab w:val="right" w:pos="14005"/>
      </w:tabs>
    </w:pPr>
  </w:style>
  <w:style w:type="paragraph" w:customStyle="1" w:styleId="TableHeading">
    <w:name w:val="TableHeading"/>
    <w:basedOn w:val="Standard"/>
    <w:next w:val="TableText"/>
    <w:uiPriority w:val="99"/>
    <w:rsid w:val="00290380"/>
    <w:pPr>
      <w:spacing w:before="0" w:after="0"/>
      <w:ind w:left="57" w:right="57"/>
    </w:pPr>
    <w:rPr>
      <w:rFonts w:ascii="Calibri" w:hAnsi="Calibri" w:cs="Calibri"/>
      <w:color w:val="0067AC"/>
    </w:rPr>
  </w:style>
  <w:style w:type="paragraph" w:styleId="Funotentext">
    <w:name w:val="footnote text"/>
    <w:aliases w:val="Footnote,Fußnote,Char Char Car,Fußnotentextf,Note de bas de page Car Car Car Car Car Car Car Car Car Car,Note de bas de page Car Car Car Car,Note de bas de page Car Car Car Car Car Car Car Car Car,ft,fn,o, Char Char Car"/>
    <w:basedOn w:val="Standard"/>
    <w:link w:val="FunotentextZchn"/>
    <w:uiPriority w:val="99"/>
    <w:rsid w:val="00DD05B7"/>
    <w:pPr>
      <w:spacing w:before="0" w:after="60" w:line="240" w:lineRule="auto"/>
    </w:pPr>
    <w:rPr>
      <w:sz w:val="18"/>
      <w:szCs w:val="18"/>
    </w:rPr>
  </w:style>
  <w:style w:type="character" w:customStyle="1" w:styleId="FunotentextZchn">
    <w:name w:val="Fußnotentext Zchn"/>
    <w:aliases w:val="Footnote Zchn,Fußnote Zchn,Char Char Car Zchn,Fußnotentextf Zchn,Note de bas de page Car Car Car Car Car Car Car Car Car Car Zchn,Note de bas de page Car Car Car Car Zchn,Note de bas de page Car Car Car Car Car Car Car Car Car Zchn"/>
    <w:link w:val="Funotentext"/>
    <w:uiPriority w:val="99"/>
    <w:locked/>
    <w:rsid w:val="00AA63C9"/>
    <w:rPr>
      <w:rFonts w:ascii="Arial" w:hAnsi="Arial" w:cs="Arial"/>
      <w:sz w:val="18"/>
      <w:szCs w:val="18"/>
    </w:rPr>
  </w:style>
  <w:style w:type="character" w:styleId="Funotenzeichen">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Textkrper"/>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berschrift1"/>
    <w:next w:val="Standard"/>
    <w:uiPriority w:val="99"/>
    <w:rsid w:val="004B7371"/>
    <w:pPr>
      <w:ind w:left="0" w:firstLine="0"/>
    </w:pPr>
  </w:style>
  <w:style w:type="paragraph" w:styleId="Verzeichnis2">
    <w:name w:val="toc 2"/>
    <w:basedOn w:val="NormalLeftAligned"/>
    <w:next w:val="Standard"/>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Verzeichnis1">
    <w:name w:val="toc 1"/>
    <w:basedOn w:val="NormalLeftAligned"/>
    <w:next w:val="Standard"/>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Verzeichnis3">
    <w:name w:val="toc 3"/>
    <w:basedOn w:val="NormalLeftAligned"/>
    <w:next w:val="Standard"/>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Verzeichnis4">
    <w:name w:val="toc 4"/>
    <w:basedOn w:val="NormalLeftAligned"/>
    <w:next w:val="Standard"/>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Standard"/>
    <w:uiPriority w:val="99"/>
    <w:rsid w:val="00760383"/>
    <w:pPr>
      <w:spacing w:before="0" w:after="0"/>
    </w:pPr>
  </w:style>
  <w:style w:type="paragraph" w:customStyle="1" w:styleId="Divider">
    <w:name w:val="Divider"/>
    <w:basedOn w:val="NormalLeftAligned"/>
    <w:next w:val="Standard"/>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Standard"/>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Kopfzeile"/>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berschrift3"/>
    <w:next w:val="Standard"/>
    <w:uiPriority w:val="99"/>
    <w:rsid w:val="002248F3"/>
    <w:pPr>
      <w:numPr>
        <w:ilvl w:val="0"/>
        <w:numId w:val="0"/>
      </w:numPr>
    </w:pPr>
  </w:style>
  <w:style w:type="paragraph" w:customStyle="1" w:styleId="Heading4NoNumb">
    <w:name w:val="Heading 4NoNumb"/>
    <w:basedOn w:val="berschrift4"/>
    <w:next w:val="Standard"/>
    <w:uiPriority w:val="99"/>
    <w:rsid w:val="002248F3"/>
    <w:pPr>
      <w:numPr>
        <w:ilvl w:val="0"/>
        <w:numId w:val="0"/>
      </w:numPr>
    </w:pPr>
  </w:style>
  <w:style w:type="paragraph" w:styleId="Verzeichnis5">
    <w:name w:val="toc 5"/>
    <w:basedOn w:val="NormalLeftAligned"/>
    <w:next w:val="Standard"/>
    <w:autoRedefine/>
    <w:uiPriority w:val="99"/>
    <w:semiHidden/>
    <w:rsid w:val="00F12D35"/>
    <w:pPr>
      <w:spacing w:before="0" w:after="0"/>
    </w:pPr>
  </w:style>
  <w:style w:type="paragraph" w:styleId="Verzeichnis6">
    <w:name w:val="toc 6"/>
    <w:basedOn w:val="NormalLeftAligned"/>
    <w:next w:val="Standard"/>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Textkrper"/>
    <w:uiPriority w:val="99"/>
    <w:rsid w:val="009F75F8"/>
    <w:pPr>
      <w:spacing w:before="0" w:after="0"/>
    </w:pPr>
  </w:style>
  <w:style w:type="paragraph" w:customStyle="1" w:styleId="BTBullet3">
    <w:name w:val="BTBullet3"/>
    <w:basedOn w:val="Standard"/>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tzhalt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Standard"/>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en-GB"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en-GB"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Standard"/>
    <w:uiPriority w:val="99"/>
    <w:rsid w:val="00F23AA1"/>
    <w:pPr>
      <w:ind w:left="340"/>
    </w:pPr>
  </w:style>
  <w:style w:type="paragraph" w:customStyle="1" w:styleId="BodyTextIndent">
    <w:name w:val="Body TextIndent"/>
    <w:basedOn w:val="Textkrper"/>
    <w:uiPriority w:val="99"/>
    <w:rsid w:val="00F23AA1"/>
    <w:pPr>
      <w:ind w:left="1191"/>
    </w:pPr>
  </w:style>
  <w:style w:type="paragraph" w:styleId="Aufzhlungszeichen">
    <w:name w:val="List Bullet"/>
    <w:basedOn w:val="Standard"/>
    <w:uiPriority w:val="99"/>
    <w:semiHidden/>
    <w:rsid w:val="00EB37D7"/>
    <w:pPr>
      <w:tabs>
        <w:tab w:val="num" w:pos="360"/>
      </w:tabs>
      <w:ind w:left="360" w:hanging="360"/>
    </w:pPr>
  </w:style>
  <w:style w:type="paragraph" w:styleId="Aufzhlungszeichen2">
    <w:name w:val="List Bullet 2"/>
    <w:basedOn w:val="Standard"/>
    <w:uiPriority w:val="99"/>
    <w:semiHidden/>
    <w:rsid w:val="00EB37D7"/>
    <w:pPr>
      <w:tabs>
        <w:tab w:val="num" w:pos="643"/>
      </w:tabs>
      <w:ind w:left="643" w:hanging="360"/>
    </w:pPr>
  </w:style>
  <w:style w:type="paragraph" w:styleId="Aufzhlungszeichen3">
    <w:name w:val="List Bullet 3"/>
    <w:basedOn w:val="Standard"/>
    <w:uiPriority w:val="99"/>
    <w:semiHidden/>
    <w:rsid w:val="00EB37D7"/>
    <w:pPr>
      <w:tabs>
        <w:tab w:val="num" w:pos="926"/>
      </w:tabs>
      <w:ind w:left="926" w:hanging="360"/>
    </w:pPr>
  </w:style>
  <w:style w:type="paragraph" w:styleId="Aufzhlungszeichen4">
    <w:name w:val="List Bullet 4"/>
    <w:basedOn w:val="Standard"/>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Textkrper"/>
    <w:next w:val="Textkrper"/>
    <w:uiPriority w:val="99"/>
    <w:rsid w:val="00EF551D"/>
    <w:pPr>
      <w:numPr>
        <w:numId w:val="30"/>
      </w:numPr>
    </w:pPr>
    <w:rPr>
      <w:rFonts w:ascii="Calibri" w:hAnsi="Calibri" w:cs="Calibri"/>
      <w:color w:val="0067AC"/>
      <w:sz w:val="24"/>
      <w:szCs w:val="24"/>
    </w:rPr>
  </w:style>
  <w:style w:type="paragraph" w:customStyle="1" w:styleId="Task">
    <w:name w:val="Task"/>
    <w:basedOn w:val="Textkrper"/>
    <w:next w:val="Textkrper"/>
    <w:uiPriority w:val="99"/>
    <w:rsid w:val="00EF551D"/>
    <w:pPr>
      <w:numPr>
        <w:ilvl w:val="1"/>
        <w:numId w:val="30"/>
      </w:numPr>
    </w:pPr>
    <w:rPr>
      <w:rFonts w:ascii="Calibri" w:hAnsi="Calibri" w:cs="Calibri"/>
      <w:color w:val="0067AC"/>
    </w:rPr>
  </w:style>
  <w:style w:type="paragraph" w:styleId="Verzeichnis7">
    <w:name w:val="toc 7"/>
    <w:basedOn w:val="NormalLeftAligned"/>
    <w:next w:val="Standard"/>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berschrift1"/>
    <w:uiPriority w:val="99"/>
    <w:rsid w:val="008016B1"/>
    <w:pPr>
      <w:pageBreakBefore w:val="0"/>
      <w:spacing w:before="360"/>
    </w:pPr>
  </w:style>
  <w:style w:type="paragraph" w:customStyle="1" w:styleId="NumbList2">
    <w:name w:val="NumbList2"/>
    <w:basedOn w:val="Standard"/>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Standard"/>
    <w:uiPriority w:val="99"/>
    <w:rsid w:val="00192D1A"/>
    <w:pPr>
      <w:numPr>
        <w:ilvl w:val="1"/>
        <w:numId w:val="29"/>
      </w:numPr>
      <w:spacing w:before="0" w:after="0"/>
    </w:pPr>
  </w:style>
  <w:style w:type="paragraph" w:customStyle="1" w:styleId="NormalIndent2">
    <w:name w:val="NormalIndent2"/>
    <w:basedOn w:val="Standard"/>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Textkrper"/>
    <w:uiPriority w:val="99"/>
    <w:rsid w:val="001E4ED8"/>
    <w:pPr>
      <w:spacing w:line="200" w:lineRule="atLeast"/>
    </w:pPr>
    <w:rPr>
      <w:i/>
      <w:iCs/>
      <w:sz w:val="18"/>
      <w:szCs w:val="18"/>
    </w:rPr>
  </w:style>
  <w:style w:type="paragraph" w:customStyle="1" w:styleId="NormalLeftAligned">
    <w:name w:val="NormalLeftAligned"/>
    <w:basedOn w:val="Standard"/>
    <w:uiPriority w:val="99"/>
    <w:rsid w:val="00495771"/>
  </w:style>
  <w:style w:type="paragraph" w:styleId="Verzeichnis8">
    <w:name w:val="toc 8"/>
    <w:basedOn w:val="NormalLeftAligned"/>
    <w:next w:val="Standard"/>
    <w:autoRedefine/>
    <w:uiPriority w:val="99"/>
    <w:semiHidden/>
    <w:rsid w:val="008D680F"/>
    <w:pPr>
      <w:spacing w:before="60" w:after="60"/>
      <w:ind w:left="1134" w:hanging="1134"/>
    </w:pPr>
  </w:style>
  <w:style w:type="paragraph" w:styleId="Verzeichnis9">
    <w:name w:val="toc 9"/>
    <w:basedOn w:val="NormalLeftAligned"/>
    <w:next w:val="Standard"/>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Standard"/>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Standard"/>
    <w:next w:val="Textkrper"/>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Standard"/>
    <w:uiPriority w:val="99"/>
    <w:rsid w:val="00541215"/>
    <w:pPr>
      <w:tabs>
        <w:tab w:val="num" w:pos="851"/>
      </w:tabs>
      <w:spacing w:before="0" w:after="0"/>
      <w:ind w:left="1021" w:hanging="341"/>
    </w:pPr>
  </w:style>
  <w:style w:type="paragraph" w:customStyle="1" w:styleId="Bullet1">
    <w:name w:val="Bullet1"/>
    <w:aliases w:val="Bullet 1"/>
    <w:basedOn w:val="Standard"/>
    <w:uiPriority w:val="99"/>
    <w:rsid w:val="00666378"/>
    <w:pPr>
      <w:tabs>
        <w:tab w:val="num" w:pos="340"/>
      </w:tabs>
      <w:spacing w:before="0" w:after="0"/>
      <w:ind w:left="340" w:hanging="340"/>
    </w:pPr>
  </w:style>
  <w:style w:type="paragraph" w:customStyle="1" w:styleId="Bullet2">
    <w:name w:val="Bullet2"/>
    <w:aliases w:val="Bullet 2"/>
    <w:basedOn w:val="Standard"/>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Standard"/>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Standard"/>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el">
    <w:name w:val="Title"/>
    <w:basedOn w:val="Standard"/>
    <w:next w:val="Standard"/>
    <w:link w:val="TitelZchn"/>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elZchn">
    <w:name w:val="Titel Zchn"/>
    <w:link w:val="Titel"/>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Standard"/>
    <w:next w:val="Standard"/>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Standard"/>
    <w:next w:val="Textkrper"/>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Standard"/>
    <w:next w:val="Textkrper"/>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Standard"/>
    <w:next w:val="Textkrper"/>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Standard"/>
    <w:next w:val="Textkrper"/>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Standard"/>
    <w:next w:val="Textkrper"/>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Standard"/>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Seitenzahl">
    <w:name w:val="page number"/>
    <w:uiPriority w:val="99"/>
    <w:semiHidden/>
    <w:rsid w:val="00DE3F5F"/>
    <w:rPr>
      <w:rFonts w:ascii="Calibri" w:hAnsi="Calibri" w:cs="Calibri"/>
      <w:b/>
      <w:bCs/>
      <w:color w:val="auto"/>
      <w:sz w:val="22"/>
      <w:szCs w:val="22"/>
    </w:rPr>
  </w:style>
  <w:style w:type="paragraph" w:customStyle="1" w:styleId="DocAddress">
    <w:name w:val="DocAddress"/>
    <w:basedOn w:val="Standard"/>
    <w:uiPriority w:val="99"/>
    <w:semiHidden/>
    <w:rsid w:val="0091335A"/>
    <w:pPr>
      <w:spacing w:before="80" w:after="0" w:line="264" w:lineRule="auto"/>
    </w:pPr>
    <w:rPr>
      <w:color w:val="0067AB"/>
      <w:sz w:val="18"/>
      <w:szCs w:val="18"/>
    </w:rPr>
  </w:style>
  <w:style w:type="paragraph" w:customStyle="1" w:styleId="Source">
    <w:name w:val="Source"/>
    <w:basedOn w:val="Standard"/>
    <w:next w:val="Standard"/>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Textkrper"/>
    <w:uiPriority w:val="99"/>
    <w:rsid w:val="003B615A"/>
    <w:pPr>
      <w:pageBreakBefore w:val="0"/>
      <w:tabs>
        <w:tab w:val="num" w:pos="851"/>
      </w:tabs>
      <w:ind w:left="851" w:hanging="851"/>
    </w:pPr>
  </w:style>
  <w:style w:type="paragraph" w:customStyle="1" w:styleId="ESHeading2">
    <w:name w:val="ESHeading 2"/>
    <w:basedOn w:val="Heading2NoNumb"/>
    <w:next w:val="Textkrper"/>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Textkrper"/>
    <w:uiPriority w:val="99"/>
    <w:rsid w:val="003B615A"/>
    <w:pPr>
      <w:numPr>
        <w:ilvl w:val="2"/>
        <w:numId w:val="9"/>
      </w:numPr>
      <w:tabs>
        <w:tab w:val="clear" w:pos="360"/>
        <w:tab w:val="num" w:pos="851"/>
      </w:tabs>
      <w:ind w:left="851" w:hanging="851"/>
    </w:pPr>
  </w:style>
  <w:style w:type="paragraph" w:customStyle="1" w:styleId="ESTable">
    <w:name w:val="ESTable"/>
    <w:basedOn w:val="Standard"/>
    <w:next w:val="Textkrper"/>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Standard"/>
    <w:uiPriority w:val="99"/>
    <w:rsid w:val="008D0697"/>
    <w:pPr>
      <w:ind w:left="1134"/>
    </w:pPr>
  </w:style>
  <w:style w:type="paragraph" w:customStyle="1" w:styleId="TableSimpleNo">
    <w:name w:val="TableSimpleNo"/>
    <w:basedOn w:val="Standard"/>
    <w:next w:val="Standard"/>
    <w:uiPriority w:val="99"/>
    <w:rsid w:val="008D0697"/>
    <w:pPr>
      <w:keepNext/>
      <w:numPr>
        <w:numId w:val="34"/>
      </w:numPr>
    </w:pPr>
    <w:rPr>
      <w:rFonts w:ascii="Calibri" w:hAnsi="Calibri" w:cs="Calibri"/>
      <w:b/>
      <w:bCs/>
      <w:color w:val="0067AC"/>
    </w:rPr>
  </w:style>
  <w:style w:type="paragraph" w:customStyle="1" w:styleId="PopOutTitle">
    <w:name w:val="PopOutTitle"/>
    <w:basedOn w:val="Standard"/>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Kommentarzeichen">
    <w:name w:val="annotation reference"/>
    <w:uiPriority w:val="29"/>
    <w:semiHidden/>
    <w:rsid w:val="00C45500"/>
    <w:rPr>
      <w:rFonts w:cs="Times New Roman"/>
      <w:sz w:val="16"/>
      <w:szCs w:val="16"/>
    </w:rPr>
  </w:style>
  <w:style w:type="paragraph" w:styleId="Kommentartext">
    <w:name w:val="annotation text"/>
    <w:basedOn w:val="Standard"/>
    <w:link w:val="KommentartextZchn"/>
    <w:uiPriority w:val="99"/>
    <w:semiHidden/>
    <w:rsid w:val="00C45500"/>
    <w:pPr>
      <w:spacing w:line="240" w:lineRule="auto"/>
    </w:pPr>
  </w:style>
  <w:style w:type="character" w:customStyle="1" w:styleId="KommentartextZchn">
    <w:name w:val="Kommentartext Zchn"/>
    <w:link w:val="Kommentar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en-GB" w:eastAsia="en-US"/>
    </w:rPr>
  </w:style>
  <w:style w:type="character" w:customStyle="1" w:styleId="berschrift7Zchn">
    <w:name w:val="Überschrift 7 Zchn"/>
    <w:basedOn w:val="Absatz-Standardschriftart"/>
    <w:link w:val="berschrift7"/>
    <w:uiPriority w:val="9"/>
    <w:rsid w:val="00ED1ED5"/>
    <w:rPr>
      <w:rFonts w:asciiTheme="majorHAnsi" w:eastAsiaTheme="majorEastAsia" w:hAnsiTheme="majorHAnsi" w:cstheme="majorBidi"/>
      <w:i/>
      <w:iCs/>
      <w:color w:val="243F60" w:themeColor="accent1" w:themeShade="7F"/>
      <w:lang w:val="en-GB" w:eastAsia="en-US"/>
    </w:rPr>
  </w:style>
  <w:style w:type="character" w:customStyle="1" w:styleId="berschrift8Zchn">
    <w:name w:val="Überschrift 8 Zchn"/>
    <w:basedOn w:val="Absatz-Standardschriftart"/>
    <w:link w:val="berschrift8"/>
    <w:uiPriority w:val="9"/>
    <w:rsid w:val="00ED1ED5"/>
    <w:rPr>
      <w:rFonts w:asciiTheme="majorHAnsi" w:eastAsiaTheme="majorEastAsia" w:hAnsiTheme="majorHAnsi" w:cstheme="majorBidi"/>
      <w:color w:val="272727" w:themeColor="text1" w:themeTint="D8"/>
      <w:sz w:val="21"/>
      <w:szCs w:val="21"/>
      <w:lang w:val="en-GB" w:eastAsia="en-US"/>
    </w:rPr>
  </w:style>
  <w:style w:type="character" w:customStyle="1" w:styleId="berschrift9Zchn">
    <w:name w:val="Überschrift 9 Zchn"/>
    <w:basedOn w:val="Absatz-Standardschriftart"/>
    <w:link w:val="berschrift9"/>
    <w:uiPriority w:val="9"/>
    <w:rsid w:val="00ED1ED5"/>
    <w:rPr>
      <w:rFonts w:asciiTheme="majorHAnsi" w:eastAsiaTheme="majorEastAsia" w:hAnsiTheme="majorHAnsi" w:cstheme="majorBidi"/>
      <w:i/>
      <w:iCs/>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s://pbs.twimg.com/profile_images/458866531577765888/Z0dbibRQ.jpe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07FF4-8C69-4FBD-8B20-D7BE0CEB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5346</Words>
  <Characters>39596</Characters>
  <Application>Microsoft Office Word</Application>
  <DocSecurity>4</DocSecurity>
  <Lines>329</Lines>
  <Paragraphs>89</Paragraphs>
  <ScaleCrop>false</ScaleCrop>
  <HeadingPairs>
    <vt:vector size="6" baseType="variant">
      <vt:variant>
        <vt:lpstr>Titel</vt:lpstr>
      </vt:variant>
      <vt:variant>
        <vt:i4>1</vt:i4>
      </vt:variant>
      <vt:variant>
        <vt:lpstr>Cím</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44853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Almut Spittel</cp:lastModifiedBy>
  <cp:revision>2</cp:revision>
  <cp:lastPrinted>2016-08-08T12:06:00Z</cp:lastPrinted>
  <dcterms:created xsi:type="dcterms:W3CDTF">2016-09-16T11:41:00Z</dcterms:created>
  <dcterms:modified xsi:type="dcterms:W3CDTF">2016-09-16T11:41:00Z</dcterms:modified>
</cp:coreProperties>
</file>