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25"/>
        <w:tblW w:w="10065" w:type="dxa"/>
        <w:jc w:val="center"/>
        <w:tblLayout w:type="fixed"/>
        <w:tblCellMar>
          <w:left w:w="70" w:type="dxa"/>
          <w:right w:w="70" w:type="dxa"/>
        </w:tblCellMar>
        <w:tblLook w:val="0000" w:firstRow="0" w:lastRow="0" w:firstColumn="0" w:lastColumn="0" w:noHBand="0" w:noVBand="0"/>
      </w:tblPr>
      <w:tblGrid>
        <w:gridCol w:w="1913"/>
        <w:gridCol w:w="3402"/>
        <w:gridCol w:w="4750"/>
      </w:tblGrid>
      <w:tr w:rsidR="00F50839" w:rsidRPr="004F746E" w:rsidTr="00832D48">
        <w:trPr>
          <w:trHeight w:val="1698"/>
          <w:jc w:val="center"/>
        </w:trPr>
        <w:tc>
          <w:tcPr>
            <w:tcW w:w="1913" w:type="dxa"/>
          </w:tcPr>
          <w:p w:rsidR="00F50839" w:rsidRDefault="00C84279" w:rsidP="00832D48">
            <w:pPr>
              <w:pStyle w:val="Header"/>
              <w:tabs>
                <w:tab w:val="clear" w:pos="4536"/>
                <w:tab w:val="clear" w:pos="9072"/>
              </w:tabs>
              <w:ind w:left="1134" w:hanging="1134"/>
              <w:rPr>
                <w:sz w:val="22"/>
              </w:rPr>
            </w:pPr>
            <w:bookmarkStart w:id="0" w:name="_GoBack"/>
            <w:bookmarkEnd w:id="0"/>
            <w:r>
              <w:rPr>
                <w:noProof/>
                <w:sz w:val="22"/>
                <w:lang w:val="fr-BE" w:eastAsia="fr-BE"/>
              </w:rPr>
              <w:drawing>
                <wp:inline distT="0" distB="0" distL="0" distR="0">
                  <wp:extent cx="116205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c>
        <w:tc>
          <w:tcPr>
            <w:tcW w:w="3402" w:type="dxa"/>
            <w:tcBorders>
              <w:top w:val="single" w:sz="4" w:space="0" w:color="auto"/>
              <w:bottom w:val="single" w:sz="4" w:space="0" w:color="auto"/>
            </w:tcBorders>
          </w:tcPr>
          <w:p w:rsidR="00B90F01" w:rsidRDefault="00B90F01" w:rsidP="00832D48">
            <w:pPr>
              <w:rPr>
                <w:sz w:val="18"/>
                <w:szCs w:val="18"/>
              </w:rPr>
            </w:pPr>
          </w:p>
          <w:p w:rsidR="005F5BAD" w:rsidRDefault="00791DBC" w:rsidP="00832D48">
            <w:pPr>
              <w:rPr>
                <w:sz w:val="18"/>
                <w:szCs w:val="18"/>
                <w:lang w:val="fr-FR"/>
              </w:rPr>
            </w:pPr>
            <w:r>
              <w:rPr>
                <w:sz w:val="18"/>
                <w:szCs w:val="18"/>
                <w:lang w:val="fr-FR"/>
              </w:rPr>
              <w:t>Galerie</w:t>
            </w:r>
            <w:r w:rsidR="005F5BAD">
              <w:rPr>
                <w:sz w:val="18"/>
                <w:szCs w:val="18"/>
                <w:lang w:val="fr-FR"/>
              </w:rPr>
              <w:t xml:space="preserve"> Agora,</w:t>
            </w:r>
          </w:p>
          <w:p w:rsidR="00F50839" w:rsidRDefault="005F5BAD" w:rsidP="00832D48">
            <w:pPr>
              <w:rPr>
                <w:sz w:val="18"/>
                <w:szCs w:val="18"/>
                <w:lang w:val="fr-FR"/>
              </w:rPr>
            </w:pPr>
            <w:r>
              <w:rPr>
                <w:sz w:val="18"/>
                <w:szCs w:val="18"/>
                <w:lang w:val="fr-FR"/>
              </w:rPr>
              <w:t>Rue du Marché aux Herbes 105, Bte 11</w:t>
            </w:r>
          </w:p>
          <w:p w:rsidR="00F50839" w:rsidRDefault="00F50839" w:rsidP="00832D48">
            <w:pPr>
              <w:rPr>
                <w:sz w:val="18"/>
                <w:szCs w:val="18"/>
              </w:rPr>
            </w:pPr>
            <w:r>
              <w:rPr>
                <w:sz w:val="18"/>
                <w:szCs w:val="18"/>
              </w:rPr>
              <w:t xml:space="preserve">B-1000 </w:t>
            </w:r>
            <w:smartTag w:uri="urn:schemas-microsoft-com:office:smarttags" w:element="City">
              <w:smartTag w:uri="urn:schemas-microsoft-com:office:smarttags" w:element="place">
                <w:r>
                  <w:rPr>
                    <w:sz w:val="18"/>
                    <w:szCs w:val="18"/>
                  </w:rPr>
                  <w:t>Brussels</w:t>
                </w:r>
              </w:smartTag>
            </w:smartTag>
          </w:p>
          <w:p w:rsidR="00F50839" w:rsidRDefault="00F50839" w:rsidP="00832D48">
            <w:pPr>
              <w:rPr>
                <w:sz w:val="18"/>
                <w:szCs w:val="18"/>
              </w:rPr>
            </w:pPr>
            <w:r>
              <w:rPr>
                <w:sz w:val="18"/>
                <w:szCs w:val="18"/>
              </w:rPr>
              <w:t>Telephone +32 2 285 46 60</w:t>
            </w:r>
          </w:p>
          <w:p w:rsidR="00F50839" w:rsidRDefault="00F50839" w:rsidP="00832D48">
            <w:pPr>
              <w:rPr>
                <w:sz w:val="18"/>
                <w:szCs w:val="18"/>
                <w:lang w:val="fr-FR"/>
              </w:rPr>
            </w:pPr>
            <w:r>
              <w:rPr>
                <w:sz w:val="18"/>
                <w:szCs w:val="18"/>
                <w:lang w:val="fr-FR"/>
              </w:rPr>
              <w:t>Fax +32 2 280 08 17</w:t>
            </w:r>
          </w:p>
          <w:p w:rsidR="00F50839" w:rsidRDefault="00A95002" w:rsidP="00832D48">
            <w:pPr>
              <w:rPr>
                <w:sz w:val="18"/>
                <w:szCs w:val="18"/>
                <w:lang w:val="fr-FR"/>
              </w:rPr>
            </w:pPr>
            <w:r>
              <w:rPr>
                <w:sz w:val="18"/>
                <w:szCs w:val="18"/>
                <w:lang w:val="fr-FR"/>
              </w:rPr>
              <w:t>Email:</w:t>
            </w:r>
            <w:r w:rsidR="00113620">
              <w:rPr>
                <w:sz w:val="18"/>
                <w:szCs w:val="18"/>
                <w:lang w:val="fr-FR"/>
              </w:rPr>
              <w:t xml:space="preserve"> </w:t>
            </w:r>
            <w:hyperlink r:id="rId9" w:history="1">
              <w:r w:rsidR="00113620" w:rsidRPr="00B8722D">
                <w:rPr>
                  <w:rStyle w:val="Hyperlink"/>
                  <w:sz w:val="18"/>
                  <w:szCs w:val="18"/>
                  <w:lang w:val="fr-FR"/>
                </w:rPr>
                <w:t>etf@etf-europe.org</w:t>
              </w:r>
            </w:hyperlink>
            <w:r w:rsidR="00113620">
              <w:rPr>
                <w:sz w:val="18"/>
                <w:szCs w:val="18"/>
                <w:lang w:val="fr-FR"/>
              </w:rPr>
              <w:t xml:space="preserve"> </w:t>
            </w:r>
          </w:p>
          <w:p w:rsidR="00F50839" w:rsidRDefault="00A33D87" w:rsidP="00832D48">
            <w:pPr>
              <w:rPr>
                <w:sz w:val="18"/>
                <w:szCs w:val="18"/>
                <w:lang w:val="fr-FR"/>
              </w:rPr>
            </w:pPr>
            <w:hyperlink r:id="rId10" w:history="1">
              <w:r w:rsidR="00C64397" w:rsidRPr="000E5CDD">
                <w:rPr>
                  <w:rStyle w:val="Hyperlink"/>
                  <w:sz w:val="18"/>
                  <w:szCs w:val="18"/>
                  <w:lang w:val="fr-FR"/>
                </w:rPr>
                <w:t>www.etf-europe.org</w:t>
              </w:r>
            </w:hyperlink>
            <w:r w:rsidR="00C64397">
              <w:rPr>
                <w:sz w:val="18"/>
                <w:szCs w:val="18"/>
                <w:lang w:val="fr-FR"/>
              </w:rPr>
              <w:t xml:space="preserve"> </w:t>
            </w:r>
          </w:p>
        </w:tc>
        <w:tc>
          <w:tcPr>
            <w:tcW w:w="4750" w:type="dxa"/>
            <w:tcBorders>
              <w:top w:val="single" w:sz="4" w:space="0" w:color="auto"/>
              <w:bottom w:val="single" w:sz="4" w:space="0" w:color="auto"/>
            </w:tcBorders>
          </w:tcPr>
          <w:p w:rsidR="00B90F01" w:rsidRDefault="00B90F01" w:rsidP="00832D48">
            <w:pPr>
              <w:rPr>
                <w:sz w:val="18"/>
                <w:szCs w:val="18"/>
                <w:lang w:val="fr-FR"/>
              </w:rPr>
            </w:pPr>
          </w:p>
          <w:p w:rsidR="00F50839" w:rsidRPr="00F04EA7" w:rsidRDefault="00F50839" w:rsidP="00832D48">
            <w:pPr>
              <w:rPr>
                <w:sz w:val="18"/>
                <w:szCs w:val="18"/>
                <w:lang w:val="fr-BE"/>
              </w:rPr>
            </w:pPr>
            <w:r w:rsidRPr="00F04EA7">
              <w:rPr>
                <w:sz w:val="18"/>
                <w:szCs w:val="18"/>
                <w:lang w:val="fr-BE"/>
              </w:rPr>
              <w:t>European Transport Workers’ Federation</w:t>
            </w:r>
          </w:p>
          <w:p w:rsidR="00F50839" w:rsidRDefault="00F50839" w:rsidP="00832D48">
            <w:pPr>
              <w:rPr>
                <w:sz w:val="18"/>
                <w:szCs w:val="18"/>
                <w:lang w:val="fr-FR"/>
              </w:rPr>
            </w:pPr>
            <w:r>
              <w:rPr>
                <w:sz w:val="18"/>
                <w:szCs w:val="18"/>
                <w:lang w:val="fr-FR"/>
              </w:rPr>
              <w:t>Fédération Européenne des Travailleurs des Transports</w:t>
            </w:r>
          </w:p>
          <w:p w:rsidR="00F50839" w:rsidRPr="00883433" w:rsidRDefault="00F50839" w:rsidP="00832D48">
            <w:pPr>
              <w:rPr>
                <w:sz w:val="18"/>
                <w:szCs w:val="18"/>
                <w:lang w:val="es-ES_tradnl"/>
              </w:rPr>
            </w:pPr>
            <w:r w:rsidRPr="00883433">
              <w:rPr>
                <w:sz w:val="18"/>
                <w:szCs w:val="18"/>
                <w:lang w:val="es-ES_tradnl"/>
              </w:rPr>
              <w:t>Europäische Transportarbeiter-Föderation</w:t>
            </w:r>
          </w:p>
          <w:p w:rsidR="00F50839" w:rsidRPr="00883433" w:rsidRDefault="00F50839" w:rsidP="00832D48">
            <w:pPr>
              <w:rPr>
                <w:sz w:val="18"/>
                <w:szCs w:val="18"/>
                <w:lang w:val="es-ES_tradnl"/>
              </w:rPr>
            </w:pPr>
            <w:r w:rsidRPr="00883433">
              <w:rPr>
                <w:sz w:val="18"/>
                <w:szCs w:val="18"/>
                <w:lang w:val="es-ES_tradnl"/>
              </w:rPr>
              <w:t>Federación Europea de los Trabajadores del Transporte</w:t>
            </w:r>
          </w:p>
          <w:p w:rsidR="00F50839" w:rsidRPr="00883433" w:rsidRDefault="00F50839" w:rsidP="00832D48">
            <w:pPr>
              <w:rPr>
                <w:sz w:val="18"/>
                <w:szCs w:val="18"/>
                <w:lang w:val="es-ES_tradnl"/>
              </w:rPr>
            </w:pPr>
          </w:p>
          <w:p w:rsidR="00F50839" w:rsidRPr="00883433" w:rsidRDefault="00F50839" w:rsidP="00832D48">
            <w:pPr>
              <w:rPr>
                <w:sz w:val="22"/>
                <w:szCs w:val="18"/>
                <w:lang w:val="es-ES_tradnl"/>
              </w:rPr>
            </w:pPr>
          </w:p>
        </w:tc>
      </w:tr>
    </w:tbl>
    <w:p w:rsidR="00181260" w:rsidRDefault="00181260" w:rsidP="00321F05">
      <w:pPr>
        <w:tabs>
          <w:tab w:val="left" w:pos="5529"/>
        </w:tabs>
        <w:rPr>
          <w:rFonts w:asciiTheme="minorHAnsi" w:hAnsiTheme="minorHAnsi"/>
          <w:b/>
          <w:i/>
          <w:color w:val="808080"/>
          <w:sz w:val="18"/>
          <w:szCs w:val="18"/>
        </w:rPr>
      </w:pPr>
    </w:p>
    <w:p w:rsidR="00E843D7" w:rsidRDefault="00E843D7" w:rsidP="00426E36">
      <w:pPr>
        <w:jc w:val="center"/>
        <w:rPr>
          <w:rFonts w:asciiTheme="minorHAnsi" w:hAnsiTheme="minorHAnsi"/>
          <w:b/>
          <w:sz w:val="22"/>
          <w:szCs w:val="22"/>
          <w:lang w:val="en-US"/>
        </w:rPr>
      </w:pPr>
    </w:p>
    <w:p w:rsidR="00426E36" w:rsidRPr="00426E36" w:rsidRDefault="00426E36" w:rsidP="00426E36">
      <w:pPr>
        <w:jc w:val="center"/>
        <w:rPr>
          <w:rFonts w:asciiTheme="minorHAnsi" w:hAnsiTheme="minorHAnsi"/>
          <w:b/>
          <w:sz w:val="22"/>
          <w:szCs w:val="22"/>
          <w:lang w:val="en-US"/>
        </w:rPr>
      </w:pPr>
      <w:r w:rsidRPr="00426E36">
        <w:rPr>
          <w:rFonts w:asciiTheme="minorHAnsi" w:hAnsiTheme="minorHAnsi"/>
          <w:b/>
          <w:sz w:val="22"/>
          <w:szCs w:val="22"/>
          <w:lang w:val="en-US"/>
        </w:rPr>
        <w:t>THE ETF POSITION IN FACTS AND FIGURES</w:t>
      </w:r>
    </w:p>
    <w:p w:rsidR="00426E36" w:rsidRPr="00426E36" w:rsidRDefault="00426E36" w:rsidP="00426E36">
      <w:pPr>
        <w:rPr>
          <w:rFonts w:asciiTheme="minorHAnsi" w:hAnsiTheme="minorHAnsi"/>
          <w:b/>
          <w:sz w:val="22"/>
          <w:szCs w:val="22"/>
          <w:lang w:val="en-US"/>
        </w:rPr>
      </w:pPr>
    </w:p>
    <w:p w:rsidR="00426E36" w:rsidRDefault="00426E36" w:rsidP="00426E36">
      <w:pPr>
        <w:rPr>
          <w:rFonts w:asciiTheme="minorHAnsi" w:hAnsiTheme="minorHAnsi"/>
          <w:b/>
          <w:sz w:val="22"/>
          <w:szCs w:val="22"/>
          <w:lang w:val="en-US"/>
        </w:rPr>
      </w:pPr>
      <w:r w:rsidRPr="00426E36">
        <w:rPr>
          <w:rFonts w:asciiTheme="minorHAnsi" w:hAnsiTheme="minorHAnsi"/>
          <w:b/>
          <w:sz w:val="22"/>
          <w:szCs w:val="22"/>
          <w:lang w:val="en-US"/>
        </w:rPr>
        <w:t xml:space="preserve">THE ETF WANTS NO CHANGES IN DRIVING AND REST TIME RULES </w:t>
      </w:r>
    </w:p>
    <w:p w:rsidR="00426E36" w:rsidRDefault="00426E36" w:rsidP="00426E36">
      <w:pPr>
        <w:rPr>
          <w:rFonts w:asciiTheme="minorHAnsi" w:hAnsiTheme="minorHAnsi"/>
          <w:b/>
          <w:sz w:val="22"/>
          <w:szCs w:val="22"/>
          <w:lang w:val="en-US"/>
        </w:rPr>
      </w:pPr>
    </w:p>
    <w:p w:rsidR="00426E36" w:rsidRDefault="00426E36" w:rsidP="00426E36">
      <w:pPr>
        <w:pBdr>
          <w:top w:val="single" w:sz="4" w:space="1" w:color="auto"/>
          <w:left w:val="single" w:sz="4" w:space="4" w:color="auto"/>
          <w:bottom w:val="single" w:sz="4" w:space="1" w:color="auto"/>
          <w:right w:val="single" w:sz="4" w:space="4" w:color="auto"/>
        </w:pBdr>
        <w:rPr>
          <w:rFonts w:asciiTheme="minorHAnsi" w:hAnsiTheme="minorHAnsi"/>
          <w:sz w:val="22"/>
          <w:szCs w:val="22"/>
          <w:lang w:val="en-US"/>
        </w:rPr>
      </w:pPr>
    </w:p>
    <w:p w:rsidR="00426E36" w:rsidRDefault="00426E36" w:rsidP="00426E36">
      <w:pPr>
        <w:pBdr>
          <w:top w:val="single" w:sz="4" w:space="1" w:color="auto"/>
          <w:left w:val="single" w:sz="4" w:space="4" w:color="auto"/>
          <w:bottom w:val="single" w:sz="4" w:space="1" w:color="auto"/>
          <w:right w:val="single" w:sz="4" w:space="4" w:color="auto"/>
        </w:pBdr>
        <w:rPr>
          <w:rFonts w:asciiTheme="minorHAnsi" w:hAnsiTheme="minorHAnsi"/>
          <w:sz w:val="22"/>
          <w:szCs w:val="22"/>
          <w:lang w:val="en-US"/>
        </w:rPr>
      </w:pPr>
      <w:r w:rsidRPr="00426E36">
        <w:rPr>
          <w:rFonts w:asciiTheme="minorHAnsi" w:hAnsiTheme="minorHAnsi"/>
          <w:sz w:val="22"/>
          <w:szCs w:val="22"/>
          <w:lang w:val="en-US"/>
        </w:rPr>
        <w:t>According to the latest EC statistics (dated 2015), 14% of the cycling fatalities came as a result of crashes with large commercial vehicles</w:t>
      </w:r>
      <w:r>
        <w:rPr>
          <w:rFonts w:asciiTheme="minorHAnsi" w:hAnsiTheme="minorHAnsi"/>
          <w:sz w:val="22"/>
          <w:szCs w:val="22"/>
          <w:lang w:val="en-US"/>
        </w:rPr>
        <w:t xml:space="preserve"> (buses, coaches and trucks)</w:t>
      </w:r>
      <w:r w:rsidRPr="00426E36">
        <w:rPr>
          <w:rFonts w:asciiTheme="minorHAnsi" w:hAnsiTheme="minorHAnsi"/>
          <w:sz w:val="22"/>
          <w:szCs w:val="22"/>
          <w:lang w:val="en-US"/>
        </w:rPr>
        <w:t>. Large vehicles were also responsible for 42% of pedestrian fatalities. More than 600 people, passengers and professional drivers, died in crashes involving buses, coaches and trucks.</w:t>
      </w:r>
      <w:r>
        <w:rPr>
          <w:rFonts w:asciiTheme="minorHAnsi" w:hAnsiTheme="minorHAnsi"/>
          <w:sz w:val="22"/>
          <w:szCs w:val="22"/>
          <w:lang w:val="en-US"/>
        </w:rPr>
        <w:t xml:space="preserve"> </w:t>
      </w:r>
    </w:p>
    <w:p w:rsidR="00426E36" w:rsidRDefault="00426E36" w:rsidP="00426E36">
      <w:pPr>
        <w:pBdr>
          <w:top w:val="single" w:sz="4" w:space="1" w:color="auto"/>
          <w:left w:val="single" w:sz="4" w:space="4" w:color="auto"/>
          <w:bottom w:val="single" w:sz="4" w:space="1" w:color="auto"/>
          <w:right w:val="single" w:sz="4" w:space="4" w:color="auto"/>
        </w:pBdr>
        <w:rPr>
          <w:rFonts w:asciiTheme="minorHAnsi" w:hAnsiTheme="minorHAnsi"/>
          <w:sz w:val="22"/>
          <w:szCs w:val="22"/>
          <w:lang w:val="en-US"/>
        </w:rPr>
      </w:pPr>
    </w:p>
    <w:p w:rsidR="00426E36" w:rsidRDefault="00426E36" w:rsidP="00DB7D1E">
      <w:pPr>
        <w:pBdr>
          <w:top w:val="single" w:sz="4" w:space="1" w:color="auto"/>
          <w:left w:val="single" w:sz="4" w:space="4" w:color="auto"/>
          <w:bottom w:val="single" w:sz="4" w:space="1" w:color="auto"/>
          <w:right w:val="single" w:sz="4" w:space="4" w:color="auto"/>
        </w:pBdr>
        <w:ind w:firstLine="709"/>
        <w:rPr>
          <w:rFonts w:asciiTheme="minorHAnsi" w:hAnsiTheme="minorHAnsi"/>
          <w:sz w:val="22"/>
          <w:szCs w:val="22"/>
          <w:lang w:val="en-GB"/>
        </w:rPr>
      </w:pPr>
      <w:r w:rsidRPr="00426E36">
        <w:rPr>
          <w:rFonts w:asciiTheme="minorHAnsi" w:hAnsiTheme="minorHAnsi"/>
          <w:b/>
          <w:i/>
          <w:sz w:val="22"/>
          <w:szCs w:val="22"/>
          <w:lang w:val="en-US"/>
        </w:rPr>
        <w:t xml:space="preserve">Source EC </w:t>
      </w:r>
      <w:r w:rsidRPr="00426E36">
        <w:rPr>
          <w:rFonts w:asciiTheme="minorHAnsi" w:hAnsiTheme="minorHAnsi"/>
          <w:i/>
          <w:sz w:val="22"/>
          <w:szCs w:val="22"/>
          <w:lang w:val="en-GB"/>
        </w:rPr>
        <w:t>“Traffic data basic facts 201</w:t>
      </w:r>
      <w:r>
        <w:rPr>
          <w:rFonts w:asciiTheme="minorHAnsi" w:hAnsiTheme="minorHAnsi"/>
          <w:i/>
          <w:sz w:val="22"/>
          <w:szCs w:val="22"/>
          <w:lang w:val="en-GB"/>
        </w:rPr>
        <w:t>7</w:t>
      </w:r>
      <w:r w:rsidRPr="00426E36">
        <w:rPr>
          <w:rFonts w:asciiTheme="minorHAnsi" w:hAnsiTheme="minorHAnsi"/>
          <w:i/>
          <w:sz w:val="22"/>
          <w:szCs w:val="22"/>
          <w:lang w:val="en-GB"/>
        </w:rPr>
        <w:t>: Heavy goods vehicles and buses”</w:t>
      </w:r>
      <w:r>
        <w:rPr>
          <w:rFonts w:asciiTheme="minorHAnsi" w:hAnsiTheme="minorHAnsi"/>
          <w:i/>
          <w:sz w:val="22"/>
          <w:szCs w:val="22"/>
          <w:lang w:val="en-GB"/>
        </w:rPr>
        <w:t>, page 12</w:t>
      </w:r>
      <w:r w:rsidRPr="00426E36">
        <w:rPr>
          <w:rFonts w:asciiTheme="minorHAnsi" w:hAnsiTheme="minorHAnsi"/>
          <w:i/>
          <w:sz w:val="22"/>
          <w:szCs w:val="22"/>
          <w:lang w:val="en-GB"/>
        </w:rPr>
        <w:t xml:space="preserve"> </w:t>
      </w:r>
    </w:p>
    <w:p w:rsidR="00426E36" w:rsidRDefault="00426E36" w:rsidP="00426E36">
      <w:pPr>
        <w:pBdr>
          <w:top w:val="single" w:sz="4" w:space="1" w:color="auto"/>
          <w:left w:val="single" w:sz="4" w:space="4" w:color="auto"/>
          <w:bottom w:val="single" w:sz="4" w:space="1" w:color="auto"/>
          <w:right w:val="single" w:sz="4" w:space="4" w:color="auto"/>
        </w:pBdr>
        <w:rPr>
          <w:rFonts w:asciiTheme="minorHAnsi" w:hAnsiTheme="minorHAnsi"/>
          <w:sz w:val="22"/>
          <w:szCs w:val="22"/>
          <w:lang w:val="en-US"/>
        </w:rPr>
      </w:pPr>
    </w:p>
    <w:p w:rsidR="00DB7D1E" w:rsidRDefault="00DB7D1E" w:rsidP="00DB7D1E">
      <w:pPr>
        <w:rPr>
          <w:rFonts w:asciiTheme="minorHAnsi" w:hAnsiTheme="minorHAnsi"/>
          <w:b/>
          <w:sz w:val="22"/>
          <w:szCs w:val="22"/>
          <w:lang w:val="en-US"/>
        </w:rPr>
      </w:pPr>
    </w:p>
    <w:p w:rsidR="00DB7D1E" w:rsidRPr="00426E36" w:rsidRDefault="00DB7D1E" w:rsidP="00DB7D1E">
      <w:pPr>
        <w:pBdr>
          <w:top w:val="single" w:sz="4" w:space="1" w:color="auto"/>
          <w:left w:val="single" w:sz="4" w:space="4" w:color="auto"/>
          <w:bottom w:val="single" w:sz="4" w:space="1" w:color="auto"/>
          <w:right w:val="single" w:sz="4" w:space="4" w:color="auto"/>
        </w:pBdr>
        <w:rPr>
          <w:rFonts w:asciiTheme="minorHAnsi" w:hAnsiTheme="minorHAnsi"/>
          <w:b/>
          <w:sz w:val="22"/>
          <w:szCs w:val="22"/>
          <w:lang w:val="en-US"/>
        </w:rPr>
      </w:pPr>
    </w:p>
    <w:p w:rsidR="00DB7D1E" w:rsidRDefault="00DB7D1E" w:rsidP="00DB7D1E">
      <w:pPr>
        <w:pBdr>
          <w:top w:val="single" w:sz="4" w:space="1" w:color="auto"/>
          <w:left w:val="single" w:sz="4" w:space="4" w:color="auto"/>
          <w:bottom w:val="single" w:sz="4" w:space="1" w:color="auto"/>
          <w:right w:val="single" w:sz="4" w:space="4" w:color="auto"/>
        </w:pBdr>
        <w:rPr>
          <w:rFonts w:asciiTheme="minorHAnsi" w:hAnsiTheme="minorHAnsi"/>
          <w:color w:val="1E1E1E"/>
          <w:sz w:val="22"/>
          <w:szCs w:val="22"/>
          <w:lang w:val="en-US"/>
        </w:rPr>
      </w:pPr>
      <w:r>
        <w:rPr>
          <w:rFonts w:asciiTheme="minorHAnsi" w:hAnsiTheme="minorHAnsi"/>
          <w:sz w:val="22"/>
          <w:szCs w:val="22"/>
          <w:lang w:val="en-US"/>
        </w:rPr>
        <w:t>Belgium</w:t>
      </w:r>
      <w:r w:rsidRPr="00426E36">
        <w:rPr>
          <w:rFonts w:asciiTheme="minorHAnsi" w:hAnsiTheme="minorHAnsi"/>
          <w:sz w:val="22"/>
          <w:szCs w:val="22"/>
          <w:lang w:val="en-US"/>
        </w:rPr>
        <w:t xml:space="preserve">: </w:t>
      </w:r>
      <w:r>
        <w:rPr>
          <w:rFonts w:asciiTheme="minorHAnsi" w:hAnsiTheme="minorHAnsi"/>
          <w:sz w:val="22"/>
          <w:szCs w:val="22"/>
          <w:lang w:val="en-US"/>
        </w:rPr>
        <w:t>i</w:t>
      </w:r>
      <w:r w:rsidRPr="00426E36">
        <w:rPr>
          <w:rFonts w:asciiTheme="minorHAnsi" w:hAnsiTheme="minorHAnsi"/>
          <w:sz w:val="22"/>
          <w:szCs w:val="22"/>
          <w:lang w:val="en-US"/>
        </w:rPr>
        <w:t>n the first 5 months of 2018, between 1 and 3 accidents involving trucks, buses and coaches happened</w:t>
      </w:r>
      <w:r>
        <w:rPr>
          <w:rFonts w:asciiTheme="minorHAnsi" w:hAnsiTheme="minorHAnsi"/>
          <w:sz w:val="22"/>
          <w:szCs w:val="22"/>
          <w:lang w:val="en-US"/>
        </w:rPr>
        <w:t xml:space="preserve"> every week.</w:t>
      </w:r>
      <w:r w:rsidRPr="00426E36">
        <w:rPr>
          <w:rFonts w:asciiTheme="minorHAnsi" w:hAnsiTheme="minorHAnsi"/>
          <w:sz w:val="22"/>
          <w:szCs w:val="22"/>
          <w:lang w:val="en-US"/>
        </w:rPr>
        <w:t xml:space="preserve"> In </w:t>
      </w:r>
      <w:r w:rsidRPr="00426E36">
        <w:rPr>
          <w:rFonts w:asciiTheme="minorHAnsi" w:hAnsiTheme="minorHAnsi"/>
          <w:color w:val="1E1E1E"/>
          <w:sz w:val="22"/>
          <w:szCs w:val="22"/>
          <w:lang w:val="en-US"/>
        </w:rPr>
        <w:t xml:space="preserve">2016 in Belgium the average number of accidents involving trucks was of 6 per day – a total of 2055 for the year. </w:t>
      </w:r>
    </w:p>
    <w:p w:rsidR="00DB7D1E" w:rsidRDefault="00DB7D1E" w:rsidP="00DB7D1E">
      <w:pPr>
        <w:pBdr>
          <w:top w:val="single" w:sz="4" w:space="1" w:color="auto"/>
          <w:left w:val="single" w:sz="4" w:space="4" w:color="auto"/>
          <w:bottom w:val="single" w:sz="4" w:space="1" w:color="auto"/>
          <w:right w:val="single" w:sz="4" w:space="4" w:color="auto"/>
        </w:pBdr>
        <w:rPr>
          <w:rFonts w:asciiTheme="minorHAnsi" w:hAnsiTheme="minorHAnsi"/>
          <w:color w:val="1E1E1E"/>
          <w:sz w:val="22"/>
          <w:szCs w:val="22"/>
          <w:lang w:val="en-US"/>
        </w:rPr>
      </w:pPr>
    </w:p>
    <w:p w:rsidR="00DB7D1E" w:rsidRPr="00DB7D1E" w:rsidRDefault="00DB7D1E" w:rsidP="00DB7D1E">
      <w:pPr>
        <w:pBdr>
          <w:top w:val="single" w:sz="4" w:space="1" w:color="auto"/>
          <w:left w:val="single" w:sz="4" w:space="4" w:color="auto"/>
          <w:bottom w:val="single" w:sz="4" w:space="1" w:color="auto"/>
          <w:right w:val="single" w:sz="4" w:space="4" w:color="auto"/>
        </w:pBdr>
        <w:rPr>
          <w:rFonts w:asciiTheme="minorHAnsi" w:hAnsiTheme="minorHAnsi"/>
          <w:i/>
          <w:color w:val="1E1E1E"/>
          <w:sz w:val="22"/>
          <w:szCs w:val="22"/>
          <w:lang w:val="en-US"/>
        </w:rPr>
      </w:pPr>
      <w:r>
        <w:rPr>
          <w:rFonts w:asciiTheme="minorHAnsi" w:hAnsiTheme="minorHAnsi"/>
          <w:color w:val="1E1E1E"/>
          <w:sz w:val="22"/>
          <w:szCs w:val="22"/>
          <w:lang w:val="en-US"/>
        </w:rPr>
        <w:tab/>
      </w:r>
      <w:r w:rsidRPr="00DB7D1E">
        <w:rPr>
          <w:rFonts w:asciiTheme="minorHAnsi" w:hAnsiTheme="minorHAnsi"/>
          <w:b/>
          <w:i/>
          <w:sz w:val="22"/>
          <w:szCs w:val="22"/>
          <w:lang w:val="en-US"/>
        </w:rPr>
        <w:t xml:space="preserve">Source </w:t>
      </w:r>
      <w:r w:rsidRPr="00DB7D1E">
        <w:rPr>
          <w:rFonts w:asciiTheme="minorHAnsi" w:hAnsiTheme="minorHAnsi"/>
          <w:i/>
          <w:sz w:val="22"/>
          <w:szCs w:val="22"/>
          <w:lang w:val="en-US"/>
        </w:rPr>
        <w:t>Belgian press report</w:t>
      </w:r>
      <w:r>
        <w:rPr>
          <w:rFonts w:asciiTheme="minorHAnsi" w:hAnsiTheme="minorHAnsi"/>
          <w:i/>
          <w:sz w:val="22"/>
          <w:szCs w:val="22"/>
          <w:lang w:val="en-US"/>
        </w:rPr>
        <w:t>s</w:t>
      </w:r>
      <w:r w:rsidRPr="00DB7D1E">
        <w:rPr>
          <w:rFonts w:asciiTheme="minorHAnsi" w:hAnsiTheme="minorHAnsi"/>
          <w:b/>
          <w:i/>
          <w:sz w:val="22"/>
          <w:szCs w:val="22"/>
          <w:lang w:val="en-US"/>
        </w:rPr>
        <w:t xml:space="preserve">  </w:t>
      </w:r>
    </w:p>
    <w:p w:rsidR="00DB7D1E" w:rsidRDefault="00DB7D1E" w:rsidP="00DB7D1E">
      <w:pPr>
        <w:pBdr>
          <w:top w:val="single" w:sz="4" w:space="1" w:color="auto"/>
          <w:left w:val="single" w:sz="4" w:space="4" w:color="auto"/>
          <w:bottom w:val="single" w:sz="4" w:space="1" w:color="auto"/>
          <w:right w:val="single" w:sz="4" w:space="4" w:color="auto"/>
        </w:pBdr>
        <w:rPr>
          <w:rFonts w:asciiTheme="minorHAnsi" w:hAnsiTheme="minorHAnsi"/>
          <w:color w:val="1E1E1E"/>
          <w:sz w:val="22"/>
          <w:szCs w:val="22"/>
          <w:lang w:val="en-US"/>
        </w:rPr>
      </w:pPr>
    </w:p>
    <w:p w:rsidR="00426E36" w:rsidRPr="00426E36" w:rsidRDefault="00426E36" w:rsidP="00426E36">
      <w:pPr>
        <w:rPr>
          <w:rFonts w:asciiTheme="minorHAnsi" w:hAnsiTheme="minorHAnsi"/>
          <w:b/>
          <w:sz w:val="22"/>
          <w:szCs w:val="22"/>
          <w:lang w:val="en-US"/>
        </w:rPr>
      </w:pPr>
    </w:p>
    <w:p w:rsidR="00DE2A38" w:rsidRDefault="00DE2A38" w:rsidP="00DE2A38">
      <w:pPr>
        <w:pBdr>
          <w:top w:val="single" w:sz="4" w:space="1" w:color="auto"/>
          <w:left w:val="single" w:sz="4" w:space="4" w:color="auto"/>
          <w:bottom w:val="single" w:sz="4" w:space="1" w:color="auto"/>
          <w:right w:val="single" w:sz="4" w:space="4" w:color="auto"/>
        </w:pBdr>
        <w:rPr>
          <w:rFonts w:asciiTheme="minorHAnsi" w:hAnsiTheme="minorHAnsi"/>
          <w:sz w:val="22"/>
          <w:szCs w:val="22"/>
          <w:shd w:val="clear" w:color="auto" w:fill="FFFFFF"/>
        </w:rPr>
      </w:pPr>
      <w:r>
        <w:rPr>
          <w:rFonts w:asciiTheme="minorHAnsi" w:hAnsiTheme="minorHAnsi"/>
          <w:sz w:val="22"/>
          <w:szCs w:val="22"/>
          <w:lang w:val="en-US"/>
        </w:rPr>
        <w:t>T</w:t>
      </w:r>
      <w:r w:rsidR="00426E36" w:rsidRPr="00426E36">
        <w:rPr>
          <w:rFonts w:asciiTheme="minorHAnsi" w:hAnsiTheme="minorHAnsi"/>
          <w:sz w:val="22"/>
          <w:szCs w:val="22"/>
          <w:lang w:val="en-US"/>
        </w:rPr>
        <w:t>he European Commission set the ambitious target to halve the number of road deaths between 2010 and 2020</w:t>
      </w:r>
      <w:r>
        <w:rPr>
          <w:rFonts w:asciiTheme="minorHAnsi" w:hAnsiTheme="minorHAnsi"/>
          <w:sz w:val="22"/>
          <w:szCs w:val="22"/>
          <w:lang w:val="en-US"/>
        </w:rPr>
        <w:t>.</w:t>
      </w:r>
      <w:r w:rsidR="00426E36" w:rsidRPr="00426E36">
        <w:rPr>
          <w:rFonts w:asciiTheme="minorHAnsi" w:hAnsiTheme="minorHAnsi"/>
          <w:sz w:val="22"/>
          <w:szCs w:val="22"/>
          <w:lang w:val="en-US"/>
        </w:rPr>
        <w:t xml:space="preserve"> Today, the Commission admits that there is a too slow </w:t>
      </w:r>
      <w:r>
        <w:rPr>
          <w:rFonts w:asciiTheme="minorHAnsi" w:hAnsiTheme="minorHAnsi"/>
          <w:sz w:val="22"/>
          <w:szCs w:val="22"/>
          <w:lang w:val="en-US"/>
        </w:rPr>
        <w:t xml:space="preserve">of a </w:t>
      </w:r>
      <w:r w:rsidR="00426E36" w:rsidRPr="00426E36">
        <w:rPr>
          <w:rFonts w:asciiTheme="minorHAnsi" w:hAnsiTheme="minorHAnsi"/>
          <w:sz w:val="22"/>
          <w:szCs w:val="22"/>
          <w:lang w:val="en-US"/>
        </w:rPr>
        <w:t>progress towards reaching this goal. “</w:t>
      </w:r>
      <w:r w:rsidR="00426E36" w:rsidRPr="00426E36">
        <w:rPr>
          <w:rFonts w:asciiTheme="minorHAnsi" w:hAnsiTheme="minorHAnsi"/>
          <w:sz w:val="22"/>
          <w:szCs w:val="22"/>
          <w:shd w:val="clear" w:color="auto" w:fill="FFFFFF"/>
        </w:rPr>
        <w:t>After two years of stagnation (2014 and 2015), the number of road fatalities was reduced by 2% in 2016, and by another 2% in 2017. While the last two years give rise to some optimism, it will be very challenging for the EU to reach its ambitious target of halving the number of road deaths between 2010 and 2020” points out the EC in a fact</w:t>
      </w:r>
      <w:r>
        <w:rPr>
          <w:rFonts w:asciiTheme="minorHAnsi" w:hAnsiTheme="minorHAnsi"/>
          <w:sz w:val="22"/>
          <w:szCs w:val="22"/>
          <w:shd w:val="clear" w:color="auto" w:fill="FFFFFF"/>
        </w:rPr>
        <w:t>sheet published recently.</w:t>
      </w:r>
      <w:r w:rsidR="00426E36" w:rsidRPr="00426E36">
        <w:rPr>
          <w:rFonts w:asciiTheme="minorHAnsi" w:hAnsiTheme="minorHAnsi"/>
          <w:sz w:val="22"/>
          <w:szCs w:val="22"/>
          <w:shd w:val="clear" w:color="auto" w:fill="FFFFFF"/>
        </w:rPr>
        <w:t xml:space="preserve"> </w:t>
      </w:r>
    </w:p>
    <w:p w:rsidR="00DE2A38" w:rsidRDefault="00DE2A38" w:rsidP="00DE2A38">
      <w:pPr>
        <w:pBdr>
          <w:top w:val="single" w:sz="4" w:space="1" w:color="auto"/>
          <w:left w:val="single" w:sz="4" w:space="4" w:color="auto"/>
          <w:bottom w:val="single" w:sz="4" w:space="1" w:color="auto"/>
          <w:right w:val="single" w:sz="4" w:space="4" w:color="auto"/>
        </w:pBdr>
        <w:rPr>
          <w:rFonts w:asciiTheme="minorHAnsi" w:hAnsiTheme="minorHAnsi"/>
          <w:sz w:val="22"/>
          <w:szCs w:val="22"/>
          <w:shd w:val="clear" w:color="auto" w:fill="FFFFFF"/>
        </w:rPr>
      </w:pPr>
    </w:p>
    <w:p w:rsidR="00426E36" w:rsidRPr="00DE2A38" w:rsidRDefault="00DE2A38" w:rsidP="00DE2A38">
      <w:pPr>
        <w:pBdr>
          <w:top w:val="single" w:sz="4" w:space="1" w:color="auto"/>
          <w:left w:val="single" w:sz="4" w:space="4" w:color="auto"/>
          <w:bottom w:val="single" w:sz="4" w:space="1" w:color="auto"/>
          <w:right w:val="single" w:sz="4" w:space="4" w:color="auto"/>
        </w:pBdr>
        <w:ind w:firstLine="709"/>
        <w:rPr>
          <w:rFonts w:asciiTheme="minorHAnsi" w:hAnsiTheme="minorHAnsi"/>
          <w:bCs/>
          <w:i/>
          <w:kern w:val="36"/>
          <w:sz w:val="22"/>
          <w:szCs w:val="22"/>
          <w:lang w:eastAsia="en-IE"/>
        </w:rPr>
      </w:pPr>
      <w:r w:rsidRPr="00DE2A38">
        <w:rPr>
          <w:rFonts w:asciiTheme="minorHAnsi" w:hAnsiTheme="minorHAnsi"/>
          <w:b/>
          <w:i/>
          <w:sz w:val="22"/>
          <w:szCs w:val="22"/>
          <w:shd w:val="clear" w:color="auto" w:fill="FFFFFF"/>
        </w:rPr>
        <w:t>Source</w:t>
      </w:r>
      <w:r w:rsidRPr="00DE2A38">
        <w:rPr>
          <w:rFonts w:asciiTheme="minorHAnsi" w:hAnsiTheme="minorHAnsi"/>
          <w:i/>
          <w:sz w:val="22"/>
          <w:szCs w:val="22"/>
          <w:shd w:val="clear" w:color="auto" w:fill="FFFFFF"/>
        </w:rPr>
        <w:t xml:space="preserve">: </w:t>
      </w:r>
      <w:r w:rsidR="00631237">
        <w:rPr>
          <w:rFonts w:asciiTheme="minorHAnsi" w:hAnsiTheme="minorHAnsi"/>
          <w:i/>
          <w:sz w:val="22"/>
          <w:szCs w:val="22"/>
          <w:shd w:val="clear" w:color="auto" w:fill="FFFFFF"/>
        </w:rPr>
        <w:t>EC fact sheet“</w:t>
      </w:r>
      <w:r w:rsidR="00426E36" w:rsidRPr="00DE2A38">
        <w:rPr>
          <w:rFonts w:asciiTheme="minorHAnsi" w:hAnsiTheme="minorHAnsi"/>
          <w:bCs/>
          <w:i/>
          <w:kern w:val="36"/>
          <w:sz w:val="22"/>
          <w:szCs w:val="22"/>
          <w:lang w:eastAsia="en-IE"/>
        </w:rPr>
        <w:t>2017 road safety statistics: What is behind the figures?</w:t>
      </w:r>
      <w:r w:rsidR="00631237">
        <w:rPr>
          <w:rFonts w:asciiTheme="minorHAnsi" w:hAnsiTheme="minorHAnsi"/>
          <w:bCs/>
          <w:i/>
          <w:kern w:val="36"/>
          <w:sz w:val="22"/>
          <w:szCs w:val="22"/>
          <w:lang w:eastAsia="en-IE"/>
        </w:rPr>
        <w:t>”</w:t>
      </w:r>
    </w:p>
    <w:p w:rsidR="00DE2A38" w:rsidRPr="00DE2A38" w:rsidRDefault="00DE2A38" w:rsidP="00DE2A38">
      <w:pPr>
        <w:pBdr>
          <w:top w:val="single" w:sz="4" w:space="1" w:color="auto"/>
          <w:left w:val="single" w:sz="4" w:space="4" w:color="auto"/>
          <w:bottom w:val="single" w:sz="4" w:space="1" w:color="auto"/>
          <w:right w:val="single" w:sz="4" w:space="4" w:color="auto"/>
        </w:pBdr>
        <w:rPr>
          <w:rFonts w:asciiTheme="minorHAnsi" w:hAnsiTheme="minorHAnsi"/>
          <w:sz w:val="22"/>
          <w:szCs w:val="22"/>
          <w:shd w:val="clear" w:color="auto" w:fill="FFFFFF"/>
        </w:rPr>
      </w:pPr>
    </w:p>
    <w:p w:rsidR="00426E36" w:rsidRDefault="00426E36" w:rsidP="00426E36">
      <w:pPr>
        <w:rPr>
          <w:rFonts w:asciiTheme="minorHAnsi" w:hAnsiTheme="minorHAnsi"/>
          <w:sz w:val="22"/>
          <w:szCs w:val="22"/>
        </w:rPr>
      </w:pPr>
    </w:p>
    <w:p w:rsidR="00631237" w:rsidRPr="00AE4F92" w:rsidRDefault="00631237" w:rsidP="00426E36">
      <w:pPr>
        <w:rPr>
          <w:rFonts w:asciiTheme="minorHAnsi" w:hAnsiTheme="minorHAnsi"/>
          <w:b/>
          <w:sz w:val="22"/>
          <w:szCs w:val="22"/>
        </w:rPr>
      </w:pPr>
      <w:r w:rsidRPr="00AE4F92">
        <w:rPr>
          <w:rFonts w:asciiTheme="minorHAnsi" w:hAnsiTheme="minorHAnsi"/>
          <w:b/>
          <w:sz w:val="22"/>
          <w:szCs w:val="22"/>
        </w:rPr>
        <w:t>THE ETF SAYS ‘NO’ TO WEEKLY REST IN THE CABIN</w:t>
      </w:r>
    </w:p>
    <w:p w:rsidR="00AE4F92" w:rsidRDefault="00AE4F92" w:rsidP="00426E36">
      <w:pPr>
        <w:rPr>
          <w:rFonts w:asciiTheme="minorHAnsi" w:hAnsiTheme="minorHAnsi"/>
          <w:sz w:val="22"/>
          <w:szCs w:val="22"/>
        </w:rPr>
      </w:pPr>
    </w:p>
    <w:p w:rsidR="00AE4F92" w:rsidRDefault="00AE4F92" w:rsidP="00AE4F92">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AE4F92" w:rsidRDefault="00AE4F92" w:rsidP="00AE4F92">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 xml:space="preserve">The maximum cabin space is of 2mx2m, no possibility for bigger cabins as the cabin size is regulated by the EU directive on weights and dimensions. This space is mainly taken by the vehicle dashboard, the stirring wheel, the driver seat and the berth. The maximum width of a berth is 80cms and many berths have a dent right in the middle, to allow the driver seat to adjust. Cabins are not provided with sanitary facilities and showers. Nor are most of the parking areas where drivers spend their nights or week-ends. The current EU rules allow the driver to spend up to 12 consecutive days in the cabin! </w:t>
      </w:r>
    </w:p>
    <w:p w:rsidR="00AE4F92" w:rsidRPr="00E843D7" w:rsidRDefault="00AE4F92" w:rsidP="00AE4F92">
      <w:pPr>
        <w:pBdr>
          <w:top w:val="single" w:sz="4" w:space="1" w:color="auto"/>
          <w:left w:val="single" w:sz="4" w:space="4" w:color="auto"/>
          <w:bottom w:val="single" w:sz="4" w:space="1" w:color="auto"/>
          <w:right w:val="single" w:sz="4" w:space="4" w:color="auto"/>
        </w:pBdr>
        <w:rPr>
          <w:rFonts w:asciiTheme="minorHAnsi" w:hAnsiTheme="minorHAnsi"/>
          <w:sz w:val="16"/>
          <w:szCs w:val="16"/>
        </w:rPr>
      </w:pPr>
    </w:p>
    <w:p w:rsidR="00AE4F92" w:rsidRDefault="00AE4F92" w:rsidP="00AE4F92">
      <w:pPr>
        <w:pBdr>
          <w:top w:val="single" w:sz="4" w:space="1" w:color="auto"/>
          <w:left w:val="single" w:sz="4" w:space="4" w:color="auto"/>
          <w:bottom w:val="single" w:sz="4" w:space="1" w:color="auto"/>
          <w:right w:val="single" w:sz="4" w:space="4" w:color="auto"/>
        </w:pBdr>
        <w:ind w:firstLine="709"/>
        <w:rPr>
          <w:rFonts w:asciiTheme="minorHAnsi" w:hAnsiTheme="minorHAnsi"/>
          <w:i/>
          <w:sz w:val="22"/>
          <w:szCs w:val="22"/>
        </w:rPr>
      </w:pPr>
      <w:r w:rsidRPr="00AE4F92">
        <w:rPr>
          <w:rFonts w:asciiTheme="minorHAnsi" w:hAnsiTheme="minorHAnsi"/>
          <w:b/>
          <w:i/>
          <w:sz w:val="22"/>
          <w:szCs w:val="22"/>
        </w:rPr>
        <w:t>Source</w:t>
      </w:r>
      <w:r w:rsidRPr="00AE4F92">
        <w:rPr>
          <w:rFonts w:asciiTheme="minorHAnsi" w:hAnsiTheme="minorHAnsi"/>
          <w:i/>
          <w:sz w:val="22"/>
          <w:szCs w:val="22"/>
        </w:rPr>
        <w:t>: the ETF</w:t>
      </w:r>
    </w:p>
    <w:p w:rsidR="00E843D7" w:rsidRPr="00AE4F92" w:rsidRDefault="00E843D7" w:rsidP="00AE4F92">
      <w:pPr>
        <w:pBdr>
          <w:top w:val="single" w:sz="4" w:space="1" w:color="auto"/>
          <w:left w:val="single" w:sz="4" w:space="4" w:color="auto"/>
          <w:bottom w:val="single" w:sz="4" w:space="1" w:color="auto"/>
          <w:right w:val="single" w:sz="4" w:space="4" w:color="auto"/>
        </w:pBdr>
        <w:ind w:firstLine="709"/>
        <w:rPr>
          <w:rFonts w:asciiTheme="minorHAnsi" w:hAnsiTheme="minorHAnsi"/>
          <w:i/>
          <w:sz w:val="22"/>
          <w:szCs w:val="22"/>
        </w:rPr>
      </w:pPr>
    </w:p>
    <w:p w:rsidR="00AE4F92" w:rsidRDefault="00AE4F92" w:rsidP="00426E36">
      <w:pPr>
        <w:rPr>
          <w:rFonts w:asciiTheme="minorHAnsi" w:hAnsiTheme="minorHAnsi"/>
          <w:sz w:val="22"/>
          <w:szCs w:val="22"/>
        </w:rPr>
      </w:pPr>
    </w:p>
    <w:p w:rsidR="00E843D7" w:rsidRDefault="00E843D7">
      <w:pPr>
        <w:rPr>
          <w:rFonts w:asciiTheme="minorHAnsi" w:hAnsiTheme="minorHAnsi"/>
          <w:b/>
          <w:sz w:val="22"/>
          <w:szCs w:val="22"/>
        </w:rPr>
      </w:pPr>
    </w:p>
    <w:p w:rsidR="00AE4F92" w:rsidRPr="00FD2E2B" w:rsidRDefault="00AE4F92">
      <w:pPr>
        <w:rPr>
          <w:rFonts w:asciiTheme="minorHAnsi" w:hAnsiTheme="minorHAnsi"/>
          <w:b/>
          <w:sz w:val="22"/>
          <w:szCs w:val="22"/>
        </w:rPr>
      </w:pPr>
      <w:r w:rsidRPr="00FD2E2B">
        <w:rPr>
          <w:rFonts w:asciiTheme="minorHAnsi" w:hAnsiTheme="minorHAnsi"/>
          <w:b/>
          <w:sz w:val="22"/>
          <w:szCs w:val="22"/>
        </w:rPr>
        <w:t xml:space="preserve">THE ETF CAMPAIGNS TO END DRIVER FATIGUE AND MAKE ROAD TRANSPORT SAFER FOR DRIVERS, PASSENGERS AND ROAD USERS – LONG WORKING HOURS </w:t>
      </w:r>
      <w:r w:rsidR="00FD2E2B" w:rsidRPr="00FD2E2B">
        <w:rPr>
          <w:rFonts w:asciiTheme="minorHAnsi" w:hAnsiTheme="minorHAnsi"/>
          <w:b/>
          <w:sz w:val="22"/>
          <w:szCs w:val="22"/>
        </w:rPr>
        <w:t xml:space="preserve">&amp; WORK DURING TIME OFF ARE THE NORM IN BUS AND COACH TRANSPORT </w:t>
      </w:r>
    </w:p>
    <w:p w:rsidR="00FD2E2B" w:rsidRDefault="00FD2E2B">
      <w:pPr>
        <w:rPr>
          <w:rFonts w:asciiTheme="minorHAnsi" w:hAnsiTheme="minorHAnsi"/>
          <w:sz w:val="22"/>
          <w:szCs w:val="22"/>
        </w:rPr>
      </w:pPr>
    </w:p>
    <w:p w:rsidR="00FD2E2B" w:rsidRDefault="00FD2E2B">
      <w:pPr>
        <w:rPr>
          <w:rFonts w:asciiTheme="minorHAnsi" w:hAnsiTheme="minorHAnsi"/>
          <w:sz w:val="22"/>
          <w:szCs w:val="22"/>
        </w:rPr>
      </w:pPr>
      <w:r>
        <w:rPr>
          <w:noProof/>
          <w:lang w:val="fr-BE" w:eastAsia="fr-BE"/>
        </w:rPr>
        <w:drawing>
          <wp:inline distT="0" distB="0" distL="0" distR="0" wp14:anchorId="14D1FFB6" wp14:editId="62783830">
            <wp:extent cx="5762625" cy="5924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2625" cy="5924550"/>
                    </a:xfrm>
                    <a:prstGeom prst="rect">
                      <a:avLst/>
                    </a:prstGeom>
                  </pic:spPr>
                </pic:pic>
              </a:graphicData>
            </a:graphic>
          </wp:inline>
        </w:drawing>
      </w:r>
    </w:p>
    <w:p w:rsidR="00AE4F92" w:rsidRDefault="00AE4F92" w:rsidP="00426E36">
      <w:pPr>
        <w:rPr>
          <w:rFonts w:asciiTheme="minorHAnsi" w:hAnsiTheme="minorHAnsi"/>
          <w:sz w:val="22"/>
          <w:szCs w:val="22"/>
        </w:rPr>
      </w:pPr>
    </w:p>
    <w:p w:rsidR="00631237" w:rsidRDefault="00631237" w:rsidP="00426E36">
      <w:pPr>
        <w:rPr>
          <w:rFonts w:asciiTheme="minorHAnsi" w:hAnsiTheme="minorHAnsi"/>
          <w:sz w:val="22"/>
          <w:szCs w:val="22"/>
        </w:rPr>
      </w:pPr>
    </w:p>
    <w:p w:rsidR="00631237" w:rsidRPr="00426E36" w:rsidRDefault="00FD2E2B" w:rsidP="00426E36">
      <w:pPr>
        <w:rPr>
          <w:rFonts w:asciiTheme="minorHAnsi" w:hAnsiTheme="minorHAnsi"/>
          <w:sz w:val="22"/>
          <w:szCs w:val="22"/>
        </w:rPr>
      </w:pPr>
      <w:r>
        <w:rPr>
          <w:noProof/>
          <w:lang w:val="fr-BE" w:eastAsia="fr-BE"/>
        </w:rPr>
        <w:lastRenderedPageBreak/>
        <w:drawing>
          <wp:inline distT="0" distB="0" distL="0" distR="0" wp14:anchorId="7F536413" wp14:editId="2003A6EF">
            <wp:extent cx="5238750" cy="5876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8750" cy="5876925"/>
                    </a:xfrm>
                    <a:prstGeom prst="rect">
                      <a:avLst/>
                    </a:prstGeom>
                  </pic:spPr>
                </pic:pic>
              </a:graphicData>
            </a:graphic>
          </wp:inline>
        </w:drawing>
      </w:r>
    </w:p>
    <w:p w:rsidR="00FD2E2B" w:rsidRDefault="00FD2E2B">
      <w:pPr>
        <w:rPr>
          <w:rFonts w:asciiTheme="minorHAnsi" w:hAnsiTheme="minorHAnsi"/>
          <w:b/>
          <w:sz w:val="22"/>
          <w:szCs w:val="22"/>
        </w:rPr>
      </w:pPr>
    </w:p>
    <w:p w:rsidR="00FD2E2B" w:rsidRPr="00FD2E2B" w:rsidRDefault="00FD2E2B" w:rsidP="00FD2E2B">
      <w:pPr>
        <w:ind w:firstLine="709"/>
        <w:rPr>
          <w:rFonts w:asciiTheme="minorHAnsi" w:hAnsiTheme="minorHAnsi"/>
          <w:b/>
          <w:i/>
          <w:sz w:val="22"/>
          <w:szCs w:val="22"/>
        </w:rPr>
      </w:pPr>
      <w:r w:rsidRPr="00FD2E2B">
        <w:rPr>
          <w:rFonts w:asciiTheme="minorHAnsi" w:hAnsiTheme="minorHAnsi"/>
          <w:b/>
          <w:i/>
          <w:sz w:val="22"/>
          <w:szCs w:val="22"/>
        </w:rPr>
        <w:t>Source</w:t>
      </w:r>
      <w:r w:rsidRPr="00FD2E2B">
        <w:rPr>
          <w:rFonts w:asciiTheme="minorHAnsi" w:hAnsiTheme="minorHAnsi"/>
          <w:i/>
          <w:sz w:val="22"/>
          <w:szCs w:val="22"/>
        </w:rPr>
        <w:t xml:space="preserve">: </w:t>
      </w:r>
      <w:r>
        <w:rPr>
          <w:rFonts w:asciiTheme="minorHAnsi" w:hAnsiTheme="minorHAnsi"/>
          <w:i/>
          <w:sz w:val="22"/>
          <w:szCs w:val="22"/>
        </w:rPr>
        <w:t xml:space="preserve">2017 </w:t>
      </w:r>
      <w:r w:rsidRPr="00FD2E2B">
        <w:rPr>
          <w:rFonts w:asciiTheme="minorHAnsi" w:hAnsiTheme="minorHAnsi"/>
          <w:i/>
          <w:sz w:val="22"/>
          <w:szCs w:val="22"/>
        </w:rPr>
        <w:t>ETF survey on working conditions of bus and coach drivers</w:t>
      </w:r>
    </w:p>
    <w:p w:rsidR="00FD2E2B" w:rsidRDefault="00FD2E2B">
      <w:pPr>
        <w:rPr>
          <w:rFonts w:asciiTheme="minorHAnsi" w:hAnsiTheme="minorHAnsi"/>
          <w:b/>
          <w:sz w:val="22"/>
          <w:szCs w:val="22"/>
        </w:rPr>
      </w:pPr>
    </w:p>
    <w:p w:rsidR="00FD2E2B" w:rsidRDefault="00FD2E2B">
      <w:pPr>
        <w:rPr>
          <w:rFonts w:asciiTheme="minorHAnsi" w:hAnsiTheme="minorHAnsi"/>
          <w:b/>
          <w:sz w:val="22"/>
          <w:szCs w:val="22"/>
        </w:rPr>
      </w:pPr>
    </w:p>
    <w:p w:rsidR="00FD2E2B" w:rsidRDefault="00FD2E2B">
      <w:pPr>
        <w:rPr>
          <w:rFonts w:asciiTheme="minorHAnsi" w:hAnsiTheme="minorHAnsi"/>
          <w:b/>
          <w:sz w:val="22"/>
          <w:szCs w:val="22"/>
        </w:rPr>
      </w:pPr>
      <w:r>
        <w:rPr>
          <w:rFonts w:asciiTheme="minorHAnsi" w:hAnsiTheme="minorHAnsi"/>
          <w:b/>
          <w:sz w:val="22"/>
          <w:szCs w:val="22"/>
        </w:rPr>
        <w:br w:type="page"/>
      </w:r>
    </w:p>
    <w:p w:rsidR="00FD2E2B" w:rsidRDefault="00FD2E2B" w:rsidP="00426E36">
      <w:pPr>
        <w:rPr>
          <w:rFonts w:asciiTheme="minorHAnsi" w:hAnsiTheme="minorHAnsi"/>
          <w:b/>
          <w:sz w:val="22"/>
          <w:szCs w:val="22"/>
        </w:rPr>
      </w:pPr>
      <w:r>
        <w:rPr>
          <w:rFonts w:asciiTheme="minorHAnsi" w:hAnsiTheme="minorHAnsi"/>
          <w:b/>
          <w:sz w:val="22"/>
          <w:szCs w:val="22"/>
        </w:rPr>
        <w:lastRenderedPageBreak/>
        <w:t>THE ETF WANTS EQUAL PAY FOR EQUAL WORK FOR PROFESSIONAL DRIVERS AND WANTS TH</w:t>
      </w:r>
      <w:r w:rsidR="0050195F">
        <w:rPr>
          <w:rFonts w:asciiTheme="minorHAnsi" w:hAnsiTheme="minorHAnsi"/>
          <w:b/>
          <w:sz w:val="22"/>
          <w:szCs w:val="22"/>
        </w:rPr>
        <w:t>E END OF LETTER-BOX COMPANIES, A BUSINESS MODEL CREATED TO CIRCUMVENT LEGAL PAY AND SOCIAL SECURITY CONTRIBUTIONS</w:t>
      </w:r>
      <w:r>
        <w:rPr>
          <w:rFonts w:asciiTheme="minorHAnsi" w:hAnsiTheme="minorHAnsi"/>
          <w:b/>
          <w:sz w:val="22"/>
          <w:szCs w:val="22"/>
        </w:rPr>
        <w:t xml:space="preserve"> </w:t>
      </w:r>
    </w:p>
    <w:p w:rsidR="00FD2E2B" w:rsidRPr="00E843D7" w:rsidRDefault="00FD2E2B" w:rsidP="00426E36">
      <w:pPr>
        <w:rPr>
          <w:rFonts w:asciiTheme="minorHAnsi" w:hAnsiTheme="minorHAnsi"/>
          <w:b/>
          <w:sz w:val="16"/>
          <w:szCs w:val="16"/>
        </w:rPr>
      </w:pPr>
    </w:p>
    <w:p w:rsidR="002C3C9F" w:rsidRDefault="002C3C9F">
      <w:pPr>
        <w:rPr>
          <w:rFonts w:asciiTheme="minorHAnsi" w:hAnsiTheme="minorHAnsi"/>
          <w:sz w:val="22"/>
          <w:szCs w:val="22"/>
        </w:rPr>
      </w:pPr>
      <w:r w:rsidRPr="002C3C9F">
        <w:rPr>
          <w:rFonts w:asciiTheme="minorHAnsi" w:hAnsiTheme="minorHAnsi"/>
          <w:sz w:val="22"/>
          <w:szCs w:val="22"/>
        </w:rPr>
        <w:t xml:space="preserve">Letter-box companies are set up in low-income Member States </w:t>
      </w:r>
      <w:r>
        <w:rPr>
          <w:rFonts w:asciiTheme="minorHAnsi" w:hAnsiTheme="minorHAnsi"/>
          <w:sz w:val="22"/>
          <w:szCs w:val="22"/>
        </w:rPr>
        <w:t xml:space="preserve">for the sole purpose of accessing low-income drivers and dispatch them to work in and from Member States with much higher wages, better working condition and protection. The main interest of these companies: save money on wages and on social contributions (the lower the wage, the lower the percentage of social charges). </w:t>
      </w:r>
    </w:p>
    <w:p w:rsidR="002C3C9F" w:rsidRPr="00E843D7" w:rsidRDefault="002C3C9F">
      <w:pPr>
        <w:rPr>
          <w:rFonts w:asciiTheme="minorHAnsi" w:hAnsiTheme="minorHAnsi"/>
          <w:sz w:val="16"/>
          <w:szCs w:val="16"/>
        </w:rPr>
      </w:pPr>
    </w:p>
    <w:p w:rsidR="002C3C9F" w:rsidRDefault="002C3C9F" w:rsidP="002C3C9F">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2C3C9F" w:rsidRDefault="002C3C9F" w:rsidP="002C3C9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C3C9F">
        <w:rPr>
          <w:rFonts w:asciiTheme="minorHAnsi" w:hAnsiTheme="minorHAnsi"/>
          <w:sz w:val="22"/>
          <w:szCs w:val="22"/>
        </w:rPr>
        <w:t xml:space="preserve">Wage differentials </w:t>
      </w:r>
      <w:r>
        <w:rPr>
          <w:rFonts w:asciiTheme="minorHAnsi" w:hAnsiTheme="minorHAnsi"/>
          <w:sz w:val="22"/>
          <w:szCs w:val="22"/>
        </w:rPr>
        <w:t xml:space="preserve">(gross salary) </w:t>
      </w:r>
      <w:r w:rsidRPr="002C3C9F">
        <w:rPr>
          <w:rFonts w:asciiTheme="minorHAnsi" w:hAnsiTheme="minorHAnsi"/>
          <w:sz w:val="22"/>
          <w:szCs w:val="22"/>
        </w:rPr>
        <w:t xml:space="preserve">in road transport in 2016 for international drivers </w:t>
      </w:r>
    </w:p>
    <w:p w:rsidR="002C3C9F" w:rsidRPr="002C3C9F" w:rsidRDefault="002C3C9F" w:rsidP="002C3C9F">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2C3C9F" w:rsidRDefault="002C3C9F" w:rsidP="002C3C9F">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noProof/>
          <w:lang w:val="fr-BE" w:eastAsia="fr-BE"/>
        </w:rPr>
        <w:drawing>
          <wp:inline distT="0" distB="0" distL="0" distR="0" wp14:anchorId="73074C96" wp14:editId="08F1D2EF">
            <wp:extent cx="5939790" cy="223823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6911" cy="2244684"/>
                    </a:xfrm>
                    <a:prstGeom prst="rect">
                      <a:avLst/>
                    </a:prstGeom>
                  </pic:spPr>
                </pic:pic>
              </a:graphicData>
            </a:graphic>
          </wp:inline>
        </w:drawing>
      </w:r>
    </w:p>
    <w:p w:rsidR="002C3C9F" w:rsidRDefault="002C3C9F" w:rsidP="002C3C9F">
      <w:pPr>
        <w:pBdr>
          <w:top w:val="single" w:sz="4" w:space="1" w:color="auto"/>
          <w:left w:val="single" w:sz="4" w:space="4" w:color="auto"/>
          <w:bottom w:val="single" w:sz="4" w:space="1" w:color="auto"/>
          <w:right w:val="single" w:sz="4" w:space="4" w:color="auto"/>
        </w:pBdr>
        <w:rPr>
          <w:rFonts w:asciiTheme="minorHAnsi" w:hAnsiTheme="minorHAnsi"/>
          <w:b/>
          <w:sz w:val="22"/>
          <w:szCs w:val="22"/>
        </w:rPr>
      </w:pPr>
    </w:p>
    <w:p w:rsidR="002C3C9F" w:rsidRDefault="002C3C9F" w:rsidP="002C3C9F">
      <w:pPr>
        <w:pBdr>
          <w:top w:val="single" w:sz="4" w:space="1" w:color="auto"/>
          <w:left w:val="single" w:sz="4" w:space="4" w:color="auto"/>
          <w:bottom w:val="single" w:sz="4" w:space="1" w:color="auto"/>
          <w:right w:val="single" w:sz="4" w:space="4" w:color="auto"/>
        </w:pBdr>
        <w:ind w:firstLine="709"/>
        <w:rPr>
          <w:rFonts w:asciiTheme="minorHAnsi" w:hAnsiTheme="minorHAnsi"/>
          <w:i/>
          <w:sz w:val="22"/>
          <w:szCs w:val="22"/>
        </w:rPr>
      </w:pPr>
      <w:r w:rsidRPr="002C3C9F">
        <w:rPr>
          <w:rFonts w:asciiTheme="minorHAnsi" w:hAnsiTheme="minorHAnsi"/>
          <w:b/>
          <w:i/>
          <w:sz w:val="22"/>
          <w:szCs w:val="22"/>
        </w:rPr>
        <w:t>Source</w:t>
      </w:r>
      <w:r w:rsidRPr="002C3C9F">
        <w:rPr>
          <w:rFonts w:asciiTheme="minorHAnsi" w:hAnsiTheme="minorHAnsi"/>
          <w:i/>
          <w:sz w:val="22"/>
          <w:szCs w:val="22"/>
        </w:rPr>
        <w:t>: Comite National Routier (CNR) “Comparative study of employment and pay conditions of international lorry drivers in Europe”, November 2016</w:t>
      </w:r>
      <w:r w:rsidR="001D2171">
        <w:rPr>
          <w:rFonts w:asciiTheme="minorHAnsi" w:hAnsiTheme="minorHAnsi"/>
          <w:i/>
          <w:sz w:val="22"/>
          <w:szCs w:val="22"/>
        </w:rPr>
        <w:t xml:space="preserve">, </w:t>
      </w:r>
      <w:hyperlink r:id="rId14" w:history="1">
        <w:r w:rsidR="001D2171" w:rsidRPr="00AF38D6">
          <w:rPr>
            <w:rStyle w:val="Hyperlink"/>
            <w:rFonts w:asciiTheme="minorHAnsi" w:hAnsiTheme="minorHAnsi"/>
            <w:i/>
            <w:sz w:val="22"/>
            <w:szCs w:val="22"/>
          </w:rPr>
          <w:t>http://www.cnr.fr/en/CNR-Publications/2016-social-synthesis-of-CNR-s-European-studies</w:t>
        </w:r>
      </w:hyperlink>
      <w:r w:rsidR="001D2171">
        <w:rPr>
          <w:rFonts w:asciiTheme="minorHAnsi" w:hAnsiTheme="minorHAnsi"/>
          <w:i/>
          <w:sz w:val="22"/>
          <w:szCs w:val="22"/>
        </w:rPr>
        <w:t xml:space="preserve"> </w:t>
      </w:r>
    </w:p>
    <w:p w:rsidR="00426E36" w:rsidRPr="002C3C9F" w:rsidRDefault="00426E36" w:rsidP="002C3C9F">
      <w:pPr>
        <w:pBdr>
          <w:top w:val="single" w:sz="4" w:space="1" w:color="auto"/>
          <w:left w:val="single" w:sz="4" w:space="4" w:color="auto"/>
          <w:bottom w:val="single" w:sz="4" w:space="1" w:color="auto"/>
          <w:right w:val="single" w:sz="4" w:space="4" w:color="auto"/>
        </w:pBdr>
        <w:rPr>
          <w:rFonts w:asciiTheme="minorHAnsi" w:hAnsiTheme="minorHAnsi"/>
          <w:i/>
          <w:sz w:val="22"/>
          <w:szCs w:val="22"/>
        </w:rPr>
      </w:pPr>
      <w:r w:rsidRPr="00426E36">
        <w:rPr>
          <w:rFonts w:asciiTheme="minorHAnsi" w:hAnsiTheme="minorHAnsi"/>
          <w:b/>
          <w:sz w:val="22"/>
          <w:szCs w:val="22"/>
        </w:rPr>
        <w:t xml:space="preserve"> </w:t>
      </w:r>
    </w:p>
    <w:p w:rsidR="002C3C9F" w:rsidRDefault="002C3C9F" w:rsidP="00E843D7">
      <w:pPr>
        <w:rPr>
          <w:rFonts w:asciiTheme="minorHAnsi" w:hAnsiTheme="minorHAnsi"/>
          <w:b/>
          <w:sz w:val="22"/>
          <w:szCs w:val="22"/>
        </w:rPr>
      </w:pPr>
    </w:p>
    <w:p w:rsidR="00E843D7" w:rsidRDefault="00E843D7" w:rsidP="00E94B51">
      <w:pPr>
        <w:pBdr>
          <w:top w:val="single" w:sz="4" w:space="1" w:color="auto"/>
          <w:left w:val="single" w:sz="4" w:space="4" w:color="auto"/>
          <w:bottom w:val="single" w:sz="4" w:space="1" w:color="auto"/>
          <w:right w:val="single" w:sz="4" w:space="4" w:color="auto"/>
        </w:pBdr>
        <w:ind w:firstLine="708"/>
        <w:rPr>
          <w:rFonts w:asciiTheme="minorHAnsi" w:hAnsiTheme="minorHAnsi"/>
          <w:b/>
          <w:sz w:val="22"/>
          <w:szCs w:val="22"/>
        </w:rPr>
      </w:pPr>
    </w:p>
    <w:p w:rsidR="00E94B51" w:rsidRDefault="00E94B51" w:rsidP="00E94B51">
      <w:pPr>
        <w:pBdr>
          <w:top w:val="single" w:sz="4" w:space="1" w:color="auto"/>
          <w:left w:val="single" w:sz="4" w:space="4" w:color="auto"/>
          <w:bottom w:val="single" w:sz="4" w:space="1" w:color="auto"/>
          <w:right w:val="single" w:sz="4" w:space="4" w:color="auto"/>
        </w:pBdr>
        <w:ind w:firstLine="708"/>
        <w:rPr>
          <w:rFonts w:asciiTheme="minorHAnsi" w:hAnsiTheme="minorHAnsi"/>
          <w:b/>
          <w:sz w:val="22"/>
          <w:szCs w:val="22"/>
        </w:rPr>
      </w:pPr>
      <w:r>
        <w:rPr>
          <w:rFonts w:asciiTheme="minorHAnsi" w:hAnsiTheme="minorHAnsi"/>
          <w:b/>
          <w:sz w:val="22"/>
          <w:szCs w:val="22"/>
        </w:rPr>
        <w:t xml:space="preserve">Differentials in social security contributions between EU Member States </w:t>
      </w:r>
    </w:p>
    <w:p w:rsidR="00E94B51" w:rsidRDefault="00E94B51" w:rsidP="00E94B51">
      <w:pPr>
        <w:pBdr>
          <w:top w:val="single" w:sz="4" w:space="1" w:color="auto"/>
          <w:left w:val="single" w:sz="4" w:space="4" w:color="auto"/>
          <w:bottom w:val="single" w:sz="4" w:space="1" w:color="auto"/>
          <w:right w:val="single" w:sz="4" w:space="4" w:color="auto"/>
        </w:pBdr>
        <w:ind w:firstLine="708"/>
        <w:rPr>
          <w:rFonts w:asciiTheme="minorHAnsi" w:hAnsiTheme="minorHAnsi"/>
          <w:b/>
          <w:sz w:val="22"/>
          <w:szCs w:val="22"/>
        </w:rPr>
      </w:pPr>
    </w:p>
    <w:p w:rsidR="002C3C9F" w:rsidRDefault="00E94B51" w:rsidP="00E94B51">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noProof/>
          <w:lang w:val="fr-BE" w:eastAsia="fr-BE"/>
        </w:rPr>
        <w:lastRenderedPageBreak/>
        <w:drawing>
          <wp:inline distT="0" distB="0" distL="0" distR="0" wp14:anchorId="0829F834" wp14:editId="27DDE6BD">
            <wp:extent cx="5939790" cy="3118514"/>
            <wp:effectExtent l="0" t="0" r="381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0769" cy="3124278"/>
                    </a:xfrm>
                    <a:prstGeom prst="rect">
                      <a:avLst/>
                    </a:prstGeom>
                  </pic:spPr>
                </pic:pic>
              </a:graphicData>
            </a:graphic>
          </wp:inline>
        </w:drawing>
      </w:r>
    </w:p>
    <w:p w:rsidR="00E94B51" w:rsidRDefault="00E94B51" w:rsidP="00E94B51">
      <w:pPr>
        <w:pBdr>
          <w:top w:val="single" w:sz="4" w:space="1" w:color="auto"/>
          <w:left w:val="single" w:sz="4" w:space="4" w:color="auto"/>
          <w:bottom w:val="single" w:sz="4" w:space="1" w:color="auto"/>
          <w:right w:val="single" w:sz="4" w:space="4" w:color="auto"/>
        </w:pBdr>
        <w:ind w:firstLine="709"/>
        <w:rPr>
          <w:rFonts w:asciiTheme="minorHAnsi" w:hAnsiTheme="minorHAnsi"/>
          <w:i/>
          <w:sz w:val="22"/>
          <w:szCs w:val="22"/>
        </w:rPr>
      </w:pPr>
      <w:r w:rsidRPr="002C3C9F">
        <w:rPr>
          <w:rFonts w:asciiTheme="minorHAnsi" w:hAnsiTheme="minorHAnsi"/>
          <w:b/>
          <w:i/>
          <w:sz w:val="22"/>
          <w:szCs w:val="22"/>
        </w:rPr>
        <w:t>Source</w:t>
      </w:r>
      <w:r w:rsidRPr="002C3C9F">
        <w:rPr>
          <w:rFonts w:asciiTheme="minorHAnsi" w:hAnsiTheme="minorHAnsi"/>
          <w:i/>
          <w:sz w:val="22"/>
          <w:szCs w:val="22"/>
        </w:rPr>
        <w:t>: Comite National Routier (CNR) “Comparative study of employment and pay conditions of international lorry drivers in Europe”, November 2016</w:t>
      </w:r>
      <w:r w:rsidR="001D2171">
        <w:rPr>
          <w:rFonts w:asciiTheme="minorHAnsi" w:hAnsiTheme="minorHAnsi"/>
          <w:i/>
          <w:sz w:val="22"/>
          <w:szCs w:val="22"/>
        </w:rPr>
        <w:t xml:space="preserve"> </w:t>
      </w:r>
      <w:hyperlink r:id="rId16" w:history="1">
        <w:r w:rsidR="001D2171" w:rsidRPr="00AF38D6">
          <w:rPr>
            <w:rStyle w:val="Hyperlink"/>
            <w:rFonts w:asciiTheme="minorHAnsi" w:hAnsiTheme="minorHAnsi"/>
            <w:i/>
            <w:sz w:val="22"/>
            <w:szCs w:val="22"/>
          </w:rPr>
          <w:t>http://www.cnr.fr/en/CNR-Publications/2016-social-synthesis-of-CNR-s-European-studies</w:t>
        </w:r>
      </w:hyperlink>
      <w:r w:rsidR="001D2171">
        <w:rPr>
          <w:rFonts w:asciiTheme="minorHAnsi" w:hAnsiTheme="minorHAnsi"/>
          <w:i/>
          <w:sz w:val="22"/>
          <w:szCs w:val="22"/>
        </w:rPr>
        <w:t xml:space="preserve"> </w:t>
      </w:r>
    </w:p>
    <w:p w:rsidR="00E94B51" w:rsidRDefault="00E94B51" w:rsidP="00E94B51">
      <w:pPr>
        <w:pBdr>
          <w:top w:val="single" w:sz="4" w:space="1" w:color="auto"/>
          <w:left w:val="single" w:sz="4" w:space="4" w:color="auto"/>
          <w:bottom w:val="single" w:sz="4" w:space="1" w:color="auto"/>
          <w:right w:val="single" w:sz="4" w:space="4" w:color="auto"/>
        </w:pBdr>
        <w:ind w:firstLine="709"/>
        <w:rPr>
          <w:rFonts w:asciiTheme="minorHAnsi" w:hAnsiTheme="minorHAnsi"/>
          <w:i/>
          <w:sz w:val="22"/>
          <w:szCs w:val="22"/>
        </w:rPr>
      </w:pPr>
    </w:p>
    <w:p w:rsidR="002C3C9F" w:rsidRDefault="002C3C9F" w:rsidP="00426E36">
      <w:pPr>
        <w:ind w:firstLine="708"/>
        <w:rPr>
          <w:rFonts w:asciiTheme="minorHAnsi" w:hAnsiTheme="minorHAnsi"/>
          <w:b/>
          <w:sz w:val="22"/>
          <w:szCs w:val="22"/>
        </w:rPr>
      </w:pPr>
    </w:p>
    <w:p w:rsidR="00426E36" w:rsidRPr="00426E36" w:rsidRDefault="00E94B51" w:rsidP="00E94B51">
      <w:pPr>
        <w:rPr>
          <w:rFonts w:asciiTheme="minorHAnsi" w:hAnsiTheme="minorHAnsi"/>
          <w:b/>
          <w:sz w:val="22"/>
          <w:szCs w:val="22"/>
        </w:rPr>
      </w:pPr>
      <w:r>
        <w:rPr>
          <w:rFonts w:asciiTheme="minorHAnsi" w:hAnsiTheme="minorHAnsi"/>
          <w:b/>
          <w:sz w:val="22"/>
          <w:szCs w:val="22"/>
        </w:rPr>
        <w:t>THE ETF WANTS THAT CABOTAGE REMAINS A TEMPORARY ACTIVITY AIMED AT AVOIDING EMPTY RUNS, AND NOT A PERMANENT ONE AIMED TO DESTABILISE MARKETS</w:t>
      </w:r>
    </w:p>
    <w:p w:rsidR="00E94B51" w:rsidRPr="00F66E2D" w:rsidRDefault="00E94B51" w:rsidP="00426E36">
      <w:pPr>
        <w:rPr>
          <w:rFonts w:asciiTheme="minorHAnsi" w:hAnsiTheme="minorHAnsi"/>
          <w:b/>
          <w:sz w:val="22"/>
          <w:szCs w:val="22"/>
        </w:rPr>
      </w:pPr>
    </w:p>
    <w:p w:rsidR="00F66E2D" w:rsidRDefault="00F66E2D" w:rsidP="00F66E2D">
      <w:pPr>
        <w:pStyle w:val="NoSpacing"/>
        <w:pBdr>
          <w:top w:val="single" w:sz="4" w:space="1" w:color="auto"/>
          <w:left w:val="single" w:sz="4" w:space="4" w:color="auto"/>
          <w:bottom w:val="single" w:sz="4" w:space="1" w:color="auto"/>
          <w:right w:val="single" w:sz="4" w:space="4" w:color="auto"/>
        </w:pBdr>
        <w:suppressAutoHyphens/>
        <w:rPr>
          <w:rFonts w:asciiTheme="minorHAnsi" w:hAnsiTheme="minorHAnsi"/>
          <w:color w:val="auto"/>
          <w:lang w:val="en-US"/>
        </w:rPr>
      </w:pPr>
    </w:p>
    <w:p w:rsidR="00F66E2D" w:rsidRDefault="00F66E2D" w:rsidP="00F66E2D">
      <w:pPr>
        <w:pStyle w:val="NoSpacing"/>
        <w:pBdr>
          <w:top w:val="single" w:sz="4" w:space="1" w:color="auto"/>
          <w:left w:val="single" w:sz="4" w:space="4" w:color="auto"/>
          <w:bottom w:val="single" w:sz="4" w:space="1" w:color="auto"/>
          <w:right w:val="single" w:sz="4" w:space="4" w:color="auto"/>
        </w:pBdr>
        <w:suppressAutoHyphens/>
        <w:rPr>
          <w:rFonts w:asciiTheme="minorHAnsi" w:eastAsia="Calibri" w:hAnsiTheme="minorHAnsi" w:cs="Trebuchet MS"/>
          <w:color w:val="auto"/>
          <w:lang w:val="en-GB" w:eastAsia="en-US"/>
        </w:rPr>
      </w:pPr>
      <w:r w:rsidRPr="00F66E2D">
        <w:rPr>
          <w:rFonts w:asciiTheme="minorHAnsi" w:hAnsiTheme="minorHAnsi"/>
          <w:color w:val="auto"/>
          <w:lang w:val="en-US"/>
        </w:rPr>
        <w:t>Current studies from the Scandinavian countries as well as EUROSTAT statistics show that cabotage has been on the increase in recent years. On behalf of</w:t>
      </w:r>
      <w:r w:rsidRPr="00F66E2D">
        <w:rPr>
          <w:color w:val="auto"/>
          <w:lang w:val="en-GB"/>
        </w:rPr>
        <w:t xml:space="preserve"> </w:t>
      </w:r>
      <w:r w:rsidRPr="00F66E2D">
        <w:rPr>
          <w:rFonts w:asciiTheme="minorHAnsi" w:hAnsiTheme="minorHAnsi"/>
          <w:color w:val="auto"/>
          <w:lang w:val="en-US"/>
        </w:rPr>
        <w:t>the Austrian Road Haulage Association, the trade union vida, as well as the Transport and Logistics Division within the Austrian Federal Economic Chamber, the Institute for Transport and Logistics Management conducted a quantitative assessment of the extent of cabotage journeys in Austria. The findings are quite alarming: the share of cabotage operations in Austria in relation to the total domestic transport operations is about 20%; every fifth road freight transport operation in Austria is a cabotage operation. The majority of those transports are not officially declared. These illegal cabotage operations lead to</w:t>
      </w:r>
      <w:r w:rsidRPr="00F66E2D">
        <w:rPr>
          <w:rFonts w:asciiTheme="minorHAnsi" w:eastAsia="Calibri" w:hAnsiTheme="minorHAnsi" w:cs="Trebuchet MS"/>
          <w:color w:val="auto"/>
          <w:lang w:val="en-GB" w:eastAsia="en-US"/>
        </w:rPr>
        <w:t xml:space="preserve"> damages of about 500 Million Euros per year for the state and social security services and are responsible for the loss of more than 14.000 jobs. </w:t>
      </w:r>
    </w:p>
    <w:p w:rsidR="00F66E2D" w:rsidRDefault="00F66E2D" w:rsidP="00F66E2D">
      <w:pPr>
        <w:pStyle w:val="NoSpacing"/>
        <w:pBdr>
          <w:top w:val="single" w:sz="4" w:space="1" w:color="auto"/>
          <w:left w:val="single" w:sz="4" w:space="4" w:color="auto"/>
          <w:bottom w:val="single" w:sz="4" w:space="1" w:color="auto"/>
          <w:right w:val="single" w:sz="4" w:space="4" w:color="auto"/>
        </w:pBdr>
        <w:suppressAutoHyphens/>
        <w:rPr>
          <w:rFonts w:asciiTheme="minorHAnsi" w:eastAsia="Calibri" w:hAnsiTheme="minorHAnsi" w:cs="Trebuchet MS"/>
          <w:color w:val="auto"/>
          <w:lang w:val="en-GB" w:eastAsia="en-US"/>
        </w:rPr>
      </w:pPr>
    </w:p>
    <w:p w:rsidR="00F66E2D" w:rsidRDefault="00F66E2D" w:rsidP="00F66E2D">
      <w:pPr>
        <w:pStyle w:val="NoSpacing"/>
        <w:pBdr>
          <w:top w:val="single" w:sz="4" w:space="1" w:color="auto"/>
          <w:left w:val="single" w:sz="4" w:space="4" w:color="auto"/>
          <w:bottom w:val="single" w:sz="4" w:space="1" w:color="auto"/>
          <w:right w:val="single" w:sz="4" w:space="4" w:color="auto"/>
        </w:pBdr>
        <w:suppressAutoHyphens/>
        <w:ind w:firstLine="709"/>
        <w:rPr>
          <w:rFonts w:asciiTheme="minorHAnsi" w:hAnsiTheme="minorHAnsi"/>
          <w:i/>
          <w:color w:val="auto"/>
          <w:lang w:val="en-GB"/>
        </w:rPr>
      </w:pPr>
      <w:r w:rsidRPr="00F66E2D">
        <w:rPr>
          <w:rFonts w:asciiTheme="minorHAnsi" w:hAnsiTheme="minorHAnsi"/>
          <w:b/>
          <w:i/>
          <w:color w:val="auto"/>
          <w:lang w:val="en-GB"/>
        </w:rPr>
        <w:t>Source</w:t>
      </w:r>
      <w:r w:rsidRPr="00F66E2D">
        <w:rPr>
          <w:rFonts w:asciiTheme="minorHAnsi" w:hAnsiTheme="minorHAnsi"/>
          <w:i/>
          <w:color w:val="auto"/>
          <w:lang w:val="en-GB"/>
        </w:rPr>
        <w:t>: Study by the Institute for Transport and Logistics Management conducted on behalf of Vida and WKO, March 2017</w:t>
      </w:r>
    </w:p>
    <w:p w:rsidR="00F66E2D" w:rsidRPr="00F66E2D" w:rsidRDefault="00F66E2D" w:rsidP="00F66E2D">
      <w:pPr>
        <w:pStyle w:val="NoSpacing"/>
        <w:pBdr>
          <w:top w:val="single" w:sz="4" w:space="1" w:color="auto"/>
          <w:left w:val="single" w:sz="4" w:space="4" w:color="auto"/>
          <w:bottom w:val="single" w:sz="4" w:space="1" w:color="auto"/>
          <w:right w:val="single" w:sz="4" w:space="4" w:color="auto"/>
        </w:pBdr>
        <w:suppressAutoHyphens/>
        <w:rPr>
          <w:rFonts w:asciiTheme="minorHAnsi" w:eastAsia="Calibri" w:hAnsiTheme="minorHAnsi" w:cs="Trebuchet MS"/>
          <w:color w:val="auto"/>
          <w:lang w:val="en-GB" w:eastAsia="en-US"/>
        </w:rPr>
      </w:pPr>
    </w:p>
    <w:p w:rsidR="00E94B51" w:rsidRDefault="00E94B51" w:rsidP="00426E36">
      <w:pPr>
        <w:rPr>
          <w:rFonts w:asciiTheme="minorHAnsi" w:hAnsiTheme="minorHAnsi"/>
          <w:b/>
          <w:sz w:val="22"/>
          <w:szCs w:val="22"/>
        </w:rPr>
      </w:pPr>
    </w:p>
    <w:p w:rsidR="00E94B51" w:rsidRDefault="00A6455F" w:rsidP="00426E36">
      <w:pPr>
        <w:rPr>
          <w:rFonts w:asciiTheme="minorHAnsi" w:hAnsiTheme="minorHAnsi"/>
          <w:b/>
          <w:sz w:val="22"/>
          <w:szCs w:val="22"/>
        </w:rPr>
      </w:pPr>
      <w:r>
        <w:rPr>
          <w:rFonts w:asciiTheme="minorHAnsi" w:hAnsiTheme="minorHAnsi"/>
          <w:b/>
          <w:sz w:val="22"/>
          <w:szCs w:val="22"/>
        </w:rPr>
        <w:t>THE ETF WANTS THE ROAD TRANSPORT SECTOR TO OFFER STABLE, QUALITY JOBS. THE DRIVER SHORTAGE HAS BECOME ACUTE IN THE PAST FEW YEARS. POOR WORKING CONDITIONS MAKE THE SECTOR COMPLETELY NON-ATTRACTIVE FOR YOUNG PEOPLE OR NEW ENTRANTS. IN THIS CONTEXT, SOME MEMBER STATES MAKE A BUSINESS FROM BRINGING IN NON-EU DRIVERS, ON EVEN WORSE SALARIES AND WORKING CONDITIONS</w:t>
      </w:r>
      <w:r w:rsidR="00673F29">
        <w:rPr>
          <w:rFonts w:asciiTheme="minorHAnsi" w:hAnsiTheme="minorHAnsi"/>
          <w:b/>
          <w:sz w:val="22"/>
          <w:szCs w:val="22"/>
        </w:rPr>
        <w:t xml:space="preserve">. IN 2017, 108.000 NON-EU DRIVERS RECEIVED PERMITS TO WORK IN THE EU. A PERMIT IS VALID 5 YEARS. </w:t>
      </w:r>
    </w:p>
    <w:p w:rsidR="00426E36" w:rsidRDefault="00426E36" w:rsidP="00426E36">
      <w:pPr>
        <w:rPr>
          <w:rFonts w:asciiTheme="minorHAnsi" w:hAnsiTheme="minorHAnsi"/>
          <w:b/>
          <w:sz w:val="22"/>
          <w:szCs w:val="22"/>
        </w:rPr>
      </w:pPr>
    </w:p>
    <w:p w:rsidR="00762525" w:rsidRDefault="00762525" w:rsidP="00E843D7">
      <w:pPr>
        <w:pBdr>
          <w:top w:val="single" w:sz="4" w:space="1" w:color="auto"/>
          <w:left w:val="single" w:sz="4" w:space="4" w:color="auto"/>
          <w:bottom w:val="single" w:sz="4" w:space="1" w:color="auto"/>
          <w:right w:val="single" w:sz="4" w:space="4" w:color="auto"/>
        </w:pBdr>
        <w:rPr>
          <w:rFonts w:asciiTheme="minorHAnsi" w:hAnsiTheme="minorHAnsi"/>
          <w:b/>
          <w:sz w:val="22"/>
          <w:szCs w:val="22"/>
        </w:rPr>
      </w:pPr>
    </w:p>
    <w:p w:rsidR="00A6455F" w:rsidRPr="00426E36" w:rsidRDefault="00A6455F" w:rsidP="00E843D7">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Number of non-EU professional drivers working in the EU</w:t>
      </w:r>
      <w:r w:rsidR="00E843D7">
        <w:rPr>
          <w:rFonts w:asciiTheme="minorHAnsi" w:hAnsiTheme="minorHAnsi"/>
          <w:b/>
          <w:sz w:val="22"/>
          <w:szCs w:val="22"/>
        </w:rPr>
        <w:t xml:space="preserve"> for the period 2012 - 2017</w:t>
      </w:r>
    </w:p>
    <w:p w:rsidR="00426E36" w:rsidRPr="00426E36" w:rsidRDefault="00426E36" w:rsidP="00E843D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426E36">
        <w:rPr>
          <w:rFonts w:asciiTheme="minorHAnsi" w:hAnsiTheme="minorHAnsi"/>
          <w:noProof/>
          <w:sz w:val="22"/>
          <w:szCs w:val="22"/>
          <w:lang w:val="fr-BE" w:eastAsia="fr-BE"/>
        </w:rPr>
        <w:lastRenderedPageBreak/>
        <w:drawing>
          <wp:inline distT="0" distB="0" distL="0" distR="0" wp14:anchorId="31C4BAF5" wp14:editId="63451AC0">
            <wp:extent cx="5760720" cy="3850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850640"/>
                    </a:xfrm>
                    <a:prstGeom prst="rect">
                      <a:avLst/>
                    </a:prstGeom>
                  </pic:spPr>
                </pic:pic>
              </a:graphicData>
            </a:graphic>
          </wp:inline>
        </w:drawing>
      </w:r>
    </w:p>
    <w:p w:rsidR="00CE01CC" w:rsidRDefault="00E843D7" w:rsidP="00E843D7">
      <w:pPr>
        <w:pBdr>
          <w:top w:val="single" w:sz="4" w:space="1" w:color="auto"/>
          <w:left w:val="single" w:sz="4" w:space="4" w:color="auto"/>
          <w:bottom w:val="single" w:sz="4" w:space="1" w:color="auto"/>
          <w:right w:val="single" w:sz="4" w:space="4" w:color="auto"/>
        </w:pBdr>
        <w:tabs>
          <w:tab w:val="left" w:pos="709"/>
        </w:tabs>
        <w:rPr>
          <w:rFonts w:asciiTheme="minorHAnsi" w:hAnsiTheme="minorHAnsi"/>
          <w:i/>
          <w:sz w:val="22"/>
          <w:szCs w:val="22"/>
        </w:rPr>
      </w:pPr>
      <w:r>
        <w:rPr>
          <w:rFonts w:asciiTheme="minorHAnsi" w:hAnsiTheme="minorHAnsi"/>
          <w:sz w:val="22"/>
          <w:szCs w:val="22"/>
        </w:rPr>
        <w:tab/>
      </w:r>
      <w:r w:rsidRPr="00E843D7">
        <w:rPr>
          <w:rFonts w:asciiTheme="minorHAnsi" w:hAnsiTheme="minorHAnsi"/>
          <w:b/>
          <w:i/>
          <w:sz w:val="22"/>
          <w:szCs w:val="22"/>
        </w:rPr>
        <w:t>Source</w:t>
      </w:r>
      <w:r w:rsidRPr="00E843D7">
        <w:rPr>
          <w:rFonts w:asciiTheme="minorHAnsi" w:hAnsiTheme="minorHAnsi"/>
          <w:i/>
          <w:sz w:val="22"/>
          <w:szCs w:val="22"/>
        </w:rPr>
        <w:t xml:space="preserve">: European Commission statistics on drivers’ attestations issued per Member State, </w:t>
      </w:r>
      <w:hyperlink r:id="rId18" w:history="1">
        <w:r w:rsidRPr="00E843D7">
          <w:rPr>
            <w:rStyle w:val="Hyperlink"/>
            <w:rFonts w:asciiTheme="minorHAnsi" w:hAnsiTheme="minorHAnsi"/>
            <w:i/>
            <w:sz w:val="22"/>
            <w:szCs w:val="22"/>
          </w:rPr>
          <w:t>https://ec.europa.eu/transport/sites/transport/files/driver-attestations-in-road-freight-transport-2012-2016.pdf</w:t>
        </w:r>
      </w:hyperlink>
      <w:r w:rsidRPr="00E843D7">
        <w:rPr>
          <w:rFonts w:asciiTheme="minorHAnsi" w:hAnsiTheme="minorHAnsi"/>
          <w:i/>
          <w:sz w:val="22"/>
          <w:szCs w:val="22"/>
        </w:rPr>
        <w:t xml:space="preserve"> </w:t>
      </w:r>
    </w:p>
    <w:p w:rsidR="00762525" w:rsidRPr="00E843D7" w:rsidRDefault="00762525" w:rsidP="00E843D7">
      <w:pPr>
        <w:pBdr>
          <w:top w:val="single" w:sz="4" w:space="1" w:color="auto"/>
          <w:left w:val="single" w:sz="4" w:space="4" w:color="auto"/>
          <w:bottom w:val="single" w:sz="4" w:space="1" w:color="auto"/>
          <w:right w:val="single" w:sz="4" w:space="4" w:color="auto"/>
        </w:pBdr>
        <w:tabs>
          <w:tab w:val="left" w:pos="709"/>
        </w:tabs>
        <w:rPr>
          <w:rFonts w:asciiTheme="minorHAnsi" w:hAnsiTheme="minorHAnsi"/>
          <w:i/>
          <w:sz w:val="22"/>
          <w:szCs w:val="22"/>
        </w:rPr>
      </w:pPr>
    </w:p>
    <w:sectPr w:rsidR="00762525" w:rsidRPr="00E843D7" w:rsidSect="00E843D7">
      <w:footerReference w:type="default" r:id="rId19"/>
      <w:pgSz w:w="11906" w:h="16838"/>
      <w:pgMar w:top="720" w:right="720" w:bottom="720" w:left="720" w:header="720"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87" w:rsidRDefault="00A33D87">
      <w:r>
        <w:separator/>
      </w:r>
    </w:p>
  </w:endnote>
  <w:endnote w:type="continuationSeparator" w:id="0">
    <w:p w:rsidR="00A33D87" w:rsidRDefault="00A3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05" w:rsidRPr="00321F05" w:rsidRDefault="00762525" w:rsidP="00321F05">
    <w:pPr>
      <w:pStyle w:val="Footer"/>
      <w:jc w:val="center"/>
      <w:rPr>
        <w:rFonts w:asciiTheme="minorHAnsi" w:hAnsiTheme="minorHAnsi"/>
        <w:sz w:val="22"/>
        <w:szCs w:val="22"/>
      </w:rPr>
    </w:pPr>
    <w:r w:rsidRPr="00762525">
      <w:rPr>
        <w:rFonts w:asciiTheme="minorHAnsi" w:hAnsiTheme="minorHAnsi"/>
        <w:sz w:val="22"/>
        <w:szCs w:val="22"/>
      </w:rPr>
      <w:fldChar w:fldCharType="begin"/>
    </w:r>
    <w:r w:rsidRPr="00762525">
      <w:rPr>
        <w:rFonts w:asciiTheme="minorHAnsi" w:hAnsiTheme="minorHAnsi"/>
        <w:sz w:val="22"/>
        <w:szCs w:val="22"/>
      </w:rPr>
      <w:instrText xml:space="preserve"> PAGE   \* MERGEFORMAT </w:instrText>
    </w:r>
    <w:r w:rsidRPr="00762525">
      <w:rPr>
        <w:rFonts w:asciiTheme="minorHAnsi" w:hAnsiTheme="minorHAnsi"/>
        <w:sz w:val="22"/>
        <w:szCs w:val="22"/>
      </w:rPr>
      <w:fldChar w:fldCharType="separate"/>
    </w:r>
    <w:r w:rsidR="00BE7FC4">
      <w:rPr>
        <w:rFonts w:asciiTheme="minorHAnsi" w:hAnsiTheme="minorHAnsi"/>
        <w:noProof/>
        <w:sz w:val="22"/>
        <w:szCs w:val="22"/>
      </w:rPr>
      <w:t>1</w:t>
    </w:r>
    <w:r w:rsidRPr="00762525">
      <w:rPr>
        <w:rFonts w:asciiTheme="minorHAnsi" w:hAnsiTheme="minorHAns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87" w:rsidRDefault="00A33D87">
      <w:r>
        <w:separator/>
      </w:r>
    </w:p>
  </w:footnote>
  <w:footnote w:type="continuationSeparator" w:id="0">
    <w:p w:rsidR="00A33D87" w:rsidRDefault="00A33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D0A"/>
    <w:multiLevelType w:val="hybridMultilevel"/>
    <w:tmpl w:val="71EE40A4"/>
    <w:lvl w:ilvl="0" w:tplc="FE9C4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21D7E"/>
    <w:multiLevelType w:val="hybridMultilevel"/>
    <w:tmpl w:val="9B42A1AA"/>
    <w:lvl w:ilvl="0" w:tplc="209677E8">
      <w:start w:val="2"/>
      <w:numFmt w:val="decimal"/>
      <w:lvlText w:val="%1."/>
      <w:lvlJc w:val="left"/>
      <w:pPr>
        <w:ind w:left="405" w:hanging="36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15:restartNumberingAfterBreak="0">
    <w:nsid w:val="153A15A0"/>
    <w:multiLevelType w:val="hybridMultilevel"/>
    <w:tmpl w:val="D848EC2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D7C45"/>
    <w:multiLevelType w:val="hybridMultilevel"/>
    <w:tmpl w:val="645C8FE8"/>
    <w:lvl w:ilvl="0" w:tplc="5B5413F2">
      <w:start w:val="1"/>
      <w:numFmt w:val="decimal"/>
      <w:lvlText w:val="%1)"/>
      <w:lvlJc w:val="left"/>
      <w:pPr>
        <w:ind w:left="720" w:hanging="360"/>
      </w:pPr>
      <w:rPr>
        <w:rFonts w:asciiTheme="minorHAnsi" w:eastAsiaTheme="minorHAnsi" w:hAnsiTheme="minorHAnsi"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D04B37"/>
    <w:multiLevelType w:val="hybridMultilevel"/>
    <w:tmpl w:val="E0F6DF38"/>
    <w:lvl w:ilvl="0" w:tplc="7A883C20">
      <w:numFmt w:val="bullet"/>
      <w:lvlText w:val="-"/>
      <w:lvlJc w:val="left"/>
      <w:pPr>
        <w:ind w:left="720" w:hanging="360"/>
      </w:pPr>
      <w:rPr>
        <w:rFonts w:ascii="Calibri Light" w:eastAsia="Times New Roman" w:hAnsi="Calibri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447601"/>
    <w:multiLevelType w:val="hybridMultilevel"/>
    <w:tmpl w:val="C3FE680C"/>
    <w:lvl w:ilvl="0" w:tplc="F6469318">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1871A21"/>
    <w:multiLevelType w:val="hybridMultilevel"/>
    <w:tmpl w:val="216EDAE4"/>
    <w:lvl w:ilvl="0" w:tplc="73B20E3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6E87AC3"/>
    <w:multiLevelType w:val="hybridMultilevel"/>
    <w:tmpl w:val="A40007B0"/>
    <w:lvl w:ilvl="0" w:tplc="CE3C728C">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B91654"/>
    <w:multiLevelType w:val="hybridMultilevel"/>
    <w:tmpl w:val="904C562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4C5069A7"/>
    <w:multiLevelType w:val="hybridMultilevel"/>
    <w:tmpl w:val="0C86D7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5351F1"/>
    <w:multiLevelType w:val="hybridMultilevel"/>
    <w:tmpl w:val="9E1ADA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4101EB0"/>
    <w:multiLevelType w:val="hybridMultilevel"/>
    <w:tmpl w:val="7C88FAA8"/>
    <w:lvl w:ilvl="0" w:tplc="1F66FE9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55A44ADC"/>
    <w:multiLevelType w:val="hybridMultilevel"/>
    <w:tmpl w:val="0EFAF08E"/>
    <w:lvl w:ilvl="0" w:tplc="DEEA65BA">
      <w:start w:val="1"/>
      <w:numFmt w:val="bullet"/>
      <w:lvlText w:val="-"/>
      <w:lvlJc w:val="left"/>
      <w:pPr>
        <w:ind w:left="144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DC46D03"/>
    <w:multiLevelType w:val="hybridMultilevel"/>
    <w:tmpl w:val="986848A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4370D"/>
    <w:multiLevelType w:val="hybridMultilevel"/>
    <w:tmpl w:val="6B32B4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92513B"/>
    <w:multiLevelType w:val="hybridMultilevel"/>
    <w:tmpl w:val="1E66975E"/>
    <w:lvl w:ilvl="0" w:tplc="0B96F1B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F0905"/>
    <w:multiLevelType w:val="hybridMultilevel"/>
    <w:tmpl w:val="4AAC21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0E74C8F"/>
    <w:multiLevelType w:val="hybridMultilevel"/>
    <w:tmpl w:val="986848A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B6E56"/>
    <w:multiLevelType w:val="hybridMultilevel"/>
    <w:tmpl w:val="3FC4992A"/>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3"/>
  </w:num>
  <w:num w:numId="5">
    <w:abstractNumId w:val="15"/>
  </w:num>
  <w:num w:numId="6">
    <w:abstractNumId w:val="8"/>
  </w:num>
  <w:num w:numId="7">
    <w:abstractNumId w:val="0"/>
  </w:num>
  <w:num w:numId="8">
    <w:abstractNumId w:val="18"/>
  </w:num>
  <w:num w:numId="9">
    <w:abstractNumId w:val="11"/>
  </w:num>
  <w:num w:numId="10">
    <w:abstractNumId w:val="1"/>
  </w:num>
  <w:num w:numId="11">
    <w:abstractNumId w:val="7"/>
  </w:num>
  <w:num w:numId="12">
    <w:abstractNumId w:val="10"/>
  </w:num>
  <w:num w:numId="13">
    <w:abstractNumId w:val="3"/>
  </w:num>
  <w:num w:numId="14">
    <w:abstractNumId w:val="6"/>
  </w:num>
  <w:num w:numId="15">
    <w:abstractNumId w:val="16"/>
  </w:num>
  <w:num w:numId="16">
    <w:abstractNumId w:val="5"/>
  </w:num>
  <w:num w:numId="17">
    <w:abstractNumId w:val="4"/>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B70"/>
    <w:rsid w:val="000015AA"/>
    <w:rsid w:val="000033E1"/>
    <w:rsid w:val="00016A87"/>
    <w:rsid w:val="000210EF"/>
    <w:rsid w:val="000263AB"/>
    <w:rsid w:val="00026C70"/>
    <w:rsid w:val="0002769C"/>
    <w:rsid w:val="00053BFE"/>
    <w:rsid w:val="00057E43"/>
    <w:rsid w:val="000751C2"/>
    <w:rsid w:val="00077707"/>
    <w:rsid w:val="00081D2F"/>
    <w:rsid w:val="00082614"/>
    <w:rsid w:val="00083241"/>
    <w:rsid w:val="000864C7"/>
    <w:rsid w:val="000A1F37"/>
    <w:rsid w:val="000B1F6F"/>
    <w:rsid w:val="000C2141"/>
    <w:rsid w:val="000D1235"/>
    <w:rsid w:val="000D799D"/>
    <w:rsid w:val="000E1ECA"/>
    <w:rsid w:val="00104EF8"/>
    <w:rsid w:val="00113620"/>
    <w:rsid w:val="00123B3F"/>
    <w:rsid w:val="00124CD9"/>
    <w:rsid w:val="00134E96"/>
    <w:rsid w:val="00142229"/>
    <w:rsid w:val="00161674"/>
    <w:rsid w:val="00181260"/>
    <w:rsid w:val="001833F5"/>
    <w:rsid w:val="00185ACB"/>
    <w:rsid w:val="00185C3A"/>
    <w:rsid w:val="001870CC"/>
    <w:rsid w:val="00191464"/>
    <w:rsid w:val="001A0D71"/>
    <w:rsid w:val="001B52F9"/>
    <w:rsid w:val="001D2171"/>
    <w:rsid w:val="001D4D56"/>
    <w:rsid w:val="001E0934"/>
    <w:rsid w:val="001E2EF3"/>
    <w:rsid w:val="001E4192"/>
    <w:rsid w:val="001E713D"/>
    <w:rsid w:val="001F654D"/>
    <w:rsid w:val="0020751D"/>
    <w:rsid w:val="002104E7"/>
    <w:rsid w:val="002343E4"/>
    <w:rsid w:val="00251B7A"/>
    <w:rsid w:val="0026668A"/>
    <w:rsid w:val="00275CC2"/>
    <w:rsid w:val="00280FB4"/>
    <w:rsid w:val="00285CB4"/>
    <w:rsid w:val="0028702E"/>
    <w:rsid w:val="002C3C9F"/>
    <w:rsid w:val="002C4173"/>
    <w:rsid w:val="002D33E9"/>
    <w:rsid w:val="0031214A"/>
    <w:rsid w:val="00317A6E"/>
    <w:rsid w:val="00321F05"/>
    <w:rsid w:val="00342FCA"/>
    <w:rsid w:val="0035240E"/>
    <w:rsid w:val="00352F68"/>
    <w:rsid w:val="003569E0"/>
    <w:rsid w:val="0037700D"/>
    <w:rsid w:val="003804B1"/>
    <w:rsid w:val="00380AD5"/>
    <w:rsid w:val="00393EF3"/>
    <w:rsid w:val="003B5ECD"/>
    <w:rsid w:val="003C3100"/>
    <w:rsid w:val="00404142"/>
    <w:rsid w:val="00417435"/>
    <w:rsid w:val="0042295E"/>
    <w:rsid w:val="00426E36"/>
    <w:rsid w:val="004353FC"/>
    <w:rsid w:val="00436869"/>
    <w:rsid w:val="00440490"/>
    <w:rsid w:val="00443F8B"/>
    <w:rsid w:val="004551ED"/>
    <w:rsid w:val="004566FD"/>
    <w:rsid w:val="00463049"/>
    <w:rsid w:val="00472D19"/>
    <w:rsid w:val="0047327B"/>
    <w:rsid w:val="004819BE"/>
    <w:rsid w:val="0048560C"/>
    <w:rsid w:val="00486B70"/>
    <w:rsid w:val="00496771"/>
    <w:rsid w:val="004B1F5A"/>
    <w:rsid w:val="004C2A02"/>
    <w:rsid w:val="004C2A98"/>
    <w:rsid w:val="004E150E"/>
    <w:rsid w:val="004F330D"/>
    <w:rsid w:val="004F3C2C"/>
    <w:rsid w:val="004F4651"/>
    <w:rsid w:val="004F746E"/>
    <w:rsid w:val="004F7714"/>
    <w:rsid w:val="005013D8"/>
    <w:rsid w:val="0050195F"/>
    <w:rsid w:val="005347BE"/>
    <w:rsid w:val="00537A59"/>
    <w:rsid w:val="00550E57"/>
    <w:rsid w:val="0059226B"/>
    <w:rsid w:val="00592CBA"/>
    <w:rsid w:val="005C0418"/>
    <w:rsid w:val="005C0558"/>
    <w:rsid w:val="005C1F5A"/>
    <w:rsid w:val="005C728E"/>
    <w:rsid w:val="005C7F68"/>
    <w:rsid w:val="005D4698"/>
    <w:rsid w:val="005D4A1E"/>
    <w:rsid w:val="005E4470"/>
    <w:rsid w:val="005E7C72"/>
    <w:rsid w:val="005F4F32"/>
    <w:rsid w:val="005F5BAD"/>
    <w:rsid w:val="006172C0"/>
    <w:rsid w:val="00620424"/>
    <w:rsid w:val="00624818"/>
    <w:rsid w:val="00631237"/>
    <w:rsid w:val="006558AC"/>
    <w:rsid w:val="00667317"/>
    <w:rsid w:val="00673F29"/>
    <w:rsid w:val="0068291E"/>
    <w:rsid w:val="00682EAE"/>
    <w:rsid w:val="006A20DB"/>
    <w:rsid w:val="006D4090"/>
    <w:rsid w:val="006F4840"/>
    <w:rsid w:val="006F4F4D"/>
    <w:rsid w:val="006F6C80"/>
    <w:rsid w:val="00720AD9"/>
    <w:rsid w:val="0072341F"/>
    <w:rsid w:val="00740240"/>
    <w:rsid w:val="00744B21"/>
    <w:rsid w:val="0075437F"/>
    <w:rsid w:val="0075632B"/>
    <w:rsid w:val="00762525"/>
    <w:rsid w:val="00764E27"/>
    <w:rsid w:val="00766163"/>
    <w:rsid w:val="00776994"/>
    <w:rsid w:val="0078252F"/>
    <w:rsid w:val="00782934"/>
    <w:rsid w:val="00791DBC"/>
    <w:rsid w:val="00795989"/>
    <w:rsid w:val="007B1541"/>
    <w:rsid w:val="007B38E4"/>
    <w:rsid w:val="007D6E99"/>
    <w:rsid w:val="007E382E"/>
    <w:rsid w:val="007E5DCC"/>
    <w:rsid w:val="007F3B1F"/>
    <w:rsid w:val="007F3BFB"/>
    <w:rsid w:val="0080060E"/>
    <w:rsid w:val="00800F84"/>
    <w:rsid w:val="008073E8"/>
    <w:rsid w:val="0081226F"/>
    <w:rsid w:val="0081344B"/>
    <w:rsid w:val="0082416B"/>
    <w:rsid w:val="008277A4"/>
    <w:rsid w:val="00832D48"/>
    <w:rsid w:val="00836C74"/>
    <w:rsid w:val="00841445"/>
    <w:rsid w:val="00846113"/>
    <w:rsid w:val="00847713"/>
    <w:rsid w:val="00854A6E"/>
    <w:rsid w:val="00875A6A"/>
    <w:rsid w:val="00883433"/>
    <w:rsid w:val="00890519"/>
    <w:rsid w:val="00896F71"/>
    <w:rsid w:val="008C0B2C"/>
    <w:rsid w:val="008C4A9B"/>
    <w:rsid w:val="008E2AB6"/>
    <w:rsid w:val="008E6E1F"/>
    <w:rsid w:val="008F0F45"/>
    <w:rsid w:val="008F67E2"/>
    <w:rsid w:val="0090279B"/>
    <w:rsid w:val="009205BA"/>
    <w:rsid w:val="009223CB"/>
    <w:rsid w:val="00922D56"/>
    <w:rsid w:val="009273E6"/>
    <w:rsid w:val="00927D97"/>
    <w:rsid w:val="009434C2"/>
    <w:rsid w:val="00945239"/>
    <w:rsid w:val="00952C78"/>
    <w:rsid w:val="00963A18"/>
    <w:rsid w:val="00981A33"/>
    <w:rsid w:val="0098580C"/>
    <w:rsid w:val="009901EC"/>
    <w:rsid w:val="009908FC"/>
    <w:rsid w:val="009B7BA7"/>
    <w:rsid w:val="009B7E90"/>
    <w:rsid w:val="009E0F65"/>
    <w:rsid w:val="009E5152"/>
    <w:rsid w:val="009F04C3"/>
    <w:rsid w:val="009F711A"/>
    <w:rsid w:val="00A042FD"/>
    <w:rsid w:val="00A279AD"/>
    <w:rsid w:val="00A33D87"/>
    <w:rsid w:val="00A37737"/>
    <w:rsid w:val="00A545C5"/>
    <w:rsid w:val="00A6455F"/>
    <w:rsid w:val="00A90A58"/>
    <w:rsid w:val="00A916F9"/>
    <w:rsid w:val="00A93C1A"/>
    <w:rsid w:val="00A95002"/>
    <w:rsid w:val="00AA2269"/>
    <w:rsid w:val="00AB1130"/>
    <w:rsid w:val="00AB34EE"/>
    <w:rsid w:val="00AC16D4"/>
    <w:rsid w:val="00AD2F55"/>
    <w:rsid w:val="00AE1D26"/>
    <w:rsid w:val="00AE4F92"/>
    <w:rsid w:val="00B033AE"/>
    <w:rsid w:val="00B05F5A"/>
    <w:rsid w:val="00B05F75"/>
    <w:rsid w:val="00B12D63"/>
    <w:rsid w:val="00B2404C"/>
    <w:rsid w:val="00B27C48"/>
    <w:rsid w:val="00B307C1"/>
    <w:rsid w:val="00B553F4"/>
    <w:rsid w:val="00B822FE"/>
    <w:rsid w:val="00B90F01"/>
    <w:rsid w:val="00B96C07"/>
    <w:rsid w:val="00B9790E"/>
    <w:rsid w:val="00BB0E11"/>
    <w:rsid w:val="00BB22D1"/>
    <w:rsid w:val="00BB49C9"/>
    <w:rsid w:val="00BD653F"/>
    <w:rsid w:val="00BD704B"/>
    <w:rsid w:val="00BE7FC4"/>
    <w:rsid w:val="00C048D5"/>
    <w:rsid w:val="00C049F1"/>
    <w:rsid w:val="00C439DB"/>
    <w:rsid w:val="00C64397"/>
    <w:rsid w:val="00C708AC"/>
    <w:rsid w:val="00C84279"/>
    <w:rsid w:val="00C907A0"/>
    <w:rsid w:val="00CB15E7"/>
    <w:rsid w:val="00CC1A06"/>
    <w:rsid w:val="00CD2853"/>
    <w:rsid w:val="00CE01CC"/>
    <w:rsid w:val="00CE3B6D"/>
    <w:rsid w:val="00D05D8E"/>
    <w:rsid w:val="00D14E30"/>
    <w:rsid w:val="00D20101"/>
    <w:rsid w:val="00D22A01"/>
    <w:rsid w:val="00D37F82"/>
    <w:rsid w:val="00D626E9"/>
    <w:rsid w:val="00D633DA"/>
    <w:rsid w:val="00D717E2"/>
    <w:rsid w:val="00D749FB"/>
    <w:rsid w:val="00D772BA"/>
    <w:rsid w:val="00D85E0F"/>
    <w:rsid w:val="00D87C02"/>
    <w:rsid w:val="00DB7D1E"/>
    <w:rsid w:val="00DC3129"/>
    <w:rsid w:val="00DE2A38"/>
    <w:rsid w:val="00DE30E2"/>
    <w:rsid w:val="00DE4314"/>
    <w:rsid w:val="00E03B02"/>
    <w:rsid w:val="00E049BC"/>
    <w:rsid w:val="00E11373"/>
    <w:rsid w:val="00E21DEA"/>
    <w:rsid w:val="00E34D57"/>
    <w:rsid w:val="00E424C3"/>
    <w:rsid w:val="00E452E5"/>
    <w:rsid w:val="00E52487"/>
    <w:rsid w:val="00E543E1"/>
    <w:rsid w:val="00E57507"/>
    <w:rsid w:val="00E843D7"/>
    <w:rsid w:val="00E852DE"/>
    <w:rsid w:val="00E928ED"/>
    <w:rsid w:val="00E94B51"/>
    <w:rsid w:val="00EB00EF"/>
    <w:rsid w:val="00EB618C"/>
    <w:rsid w:val="00EB7E2D"/>
    <w:rsid w:val="00EC7EBD"/>
    <w:rsid w:val="00ED074A"/>
    <w:rsid w:val="00EE27FC"/>
    <w:rsid w:val="00EF07B2"/>
    <w:rsid w:val="00EF3C35"/>
    <w:rsid w:val="00F03F7F"/>
    <w:rsid w:val="00F04EA7"/>
    <w:rsid w:val="00F3285B"/>
    <w:rsid w:val="00F35BC1"/>
    <w:rsid w:val="00F35F5E"/>
    <w:rsid w:val="00F40CEE"/>
    <w:rsid w:val="00F47B30"/>
    <w:rsid w:val="00F50839"/>
    <w:rsid w:val="00F53EB7"/>
    <w:rsid w:val="00F66A00"/>
    <w:rsid w:val="00F66E2D"/>
    <w:rsid w:val="00F917FC"/>
    <w:rsid w:val="00FC172E"/>
    <w:rsid w:val="00FD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E74C719A-5218-498A-83F0-B4EA6E2C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sz w:val="24"/>
      <w:lang w:val="en-IE" w:eastAsia="fr-FR"/>
    </w:rPr>
  </w:style>
  <w:style w:type="paragraph" w:styleId="Heading1">
    <w:name w:val="heading 1"/>
    <w:basedOn w:val="Normal"/>
    <w:next w:val="Normal"/>
    <w:qFormat/>
    <w:pPr>
      <w:keepNext/>
      <w:outlineLvl w:val="0"/>
    </w:pPr>
    <w:rPr>
      <w:i/>
      <w:iCs/>
      <w:sz w:val="19"/>
      <w:lang w:val="fr-FR"/>
    </w:rPr>
  </w:style>
  <w:style w:type="paragraph" w:styleId="Heading2">
    <w:name w:val="heading 2"/>
    <w:basedOn w:val="Normal"/>
    <w:next w:val="Normal"/>
    <w:qFormat/>
    <w:pPr>
      <w:keepNext/>
      <w:outlineLvl w:val="1"/>
    </w:pPr>
    <w:rPr>
      <w:i/>
      <w:iCs/>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Title">
    <w:name w:val="Title"/>
    <w:basedOn w:val="Normal"/>
    <w:qFormat/>
    <w:pPr>
      <w:jc w:val="center"/>
    </w:pPr>
    <w:rPr>
      <w:rFonts w:ascii="Times New Roman" w:hAnsi="Times New Roman"/>
      <w:b/>
      <w:bCs/>
      <w:color w:val="auto"/>
      <w:szCs w:val="24"/>
      <w:lang w:val="fr-FR"/>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b/>
      <w:bCs/>
      <w:color w:val="auto"/>
      <w:sz w:val="28"/>
    </w:rPr>
  </w:style>
  <w:style w:type="character" w:styleId="PageNumber">
    <w:name w:val="page number"/>
    <w:basedOn w:val="DefaultParagraphFont"/>
  </w:style>
  <w:style w:type="character" w:styleId="Hyperlink">
    <w:name w:val="Hyperlink"/>
    <w:basedOn w:val="DefaultParagraphFont"/>
    <w:rsid w:val="00113620"/>
    <w:rPr>
      <w:color w:val="0000FF"/>
      <w:u w:val="single"/>
    </w:rPr>
  </w:style>
  <w:style w:type="character" w:customStyle="1" w:styleId="FooterChar">
    <w:name w:val="Footer Char"/>
    <w:basedOn w:val="DefaultParagraphFont"/>
    <w:link w:val="Footer"/>
    <w:uiPriority w:val="99"/>
    <w:rsid w:val="00A93C1A"/>
    <w:rPr>
      <w:rFonts w:ascii="Arial" w:hAnsi="Arial"/>
      <w:color w:val="000000"/>
      <w:sz w:val="24"/>
      <w:lang w:val="en-GB" w:eastAsia="fr-FR"/>
    </w:rPr>
  </w:style>
  <w:style w:type="paragraph" w:styleId="ListParagraph">
    <w:name w:val="List Paragraph"/>
    <w:basedOn w:val="Normal"/>
    <w:uiPriority w:val="34"/>
    <w:qFormat/>
    <w:rsid w:val="005013D8"/>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6">
    <w:name w:val="Normal6"/>
    <w:basedOn w:val="Normal"/>
    <w:link w:val="Normal6Char"/>
    <w:rsid w:val="00EC7EBD"/>
    <w:pPr>
      <w:widowControl w:val="0"/>
      <w:spacing w:after="120"/>
    </w:pPr>
    <w:rPr>
      <w:rFonts w:ascii="Times New Roman" w:hAnsi="Times New Roman"/>
      <w:color w:val="auto"/>
      <w:lang w:val="en-GB" w:eastAsia="en-GB"/>
    </w:rPr>
  </w:style>
  <w:style w:type="character" w:customStyle="1" w:styleId="Normal6Char">
    <w:name w:val="Normal6 Char"/>
    <w:link w:val="Normal6"/>
    <w:rsid w:val="00EC7EBD"/>
    <w:rPr>
      <w:sz w:val="24"/>
      <w:lang w:val="en-GB" w:eastAsia="en-GB"/>
    </w:rPr>
  </w:style>
  <w:style w:type="paragraph" w:customStyle="1" w:styleId="norm">
    <w:name w:val="norm"/>
    <w:basedOn w:val="Normal"/>
    <w:rsid w:val="00EC7EBD"/>
    <w:pPr>
      <w:spacing w:before="100" w:beforeAutospacing="1" w:after="100" w:afterAutospacing="1"/>
    </w:pPr>
    <w:rPr>
      <w:rFonts w:ascii="Times New Roman" w:hAnsi="Times New Roman"/>
      <w:color w:val="auto"/>
      <w:szCs w:val="24"/>
      <w:lang w:val="en-GB" w:eastAsia="en-GB"/>
    </w:rPr>
  </w:style>
  <w:style w:type="paragraph" w:customStyle="1" w:styleId="Default">
    <w:name w:val="Default"/>
    <w:rsid w:val="00EC7EBD"/>
    <w:pPr>
      <w:autoSpaceDE w:val="0"/>
      <w:autoSpaceDN w:val="0"/>
      <w:adjustRightInd w:val="0"/>
    </w:pPr>
    <w:rPr>
      <w:rFonts w:eastAsiaTheme="minorHAnsi"/>
      <w:color w:val="000000"/>
      <w:sz w:val="24"/>
      <w:szCs w:val="24"/>
      <w:lang w:val="de-DE"/>
    </w:rPr>
  </w:style>
  <w:style w:type="table" w:styleId="TableGrid">
    <w:name w:val="Table Grid"/>
    <w:basedOn w:val="TableNormal"/>
    <w:rsid w:val="00CE01CC"/>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66E2D"/>
    <w:pPr>
      <w:jc w:val="both"/>
    </w:pPr>
    <w:rPr>
      <w:rFonts w:ascii="Arial" w:hAnsi="Arial" w:cs="Arial"/>
      <w:color w:val="002060"/>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437">
      <w:bodyDiv w:val="1"/>
      <w:marLeft w:val="0"/>
      <w:marRight w:val="0"/>
      <w:marTop w:val="0"/>
      <w:marBottom w:val="0"/>
      <w:divBdr>
        <w:top w:val="none" w:sz="0" w:space="0" w:color="auto"/>
        <w:left w:val="none" w:sz="0" w:space="0" w:color="auto"/>
        <w:bottom w:val="none" w:sz="0" w:space="0" w:color="auto"/>
        <w:right w:val="none" w:sz="0" w:space="0" w:color="auto"/>
      </w:divBdr>
    </w:div>
    <w:div w:id="243418419">
      <w:bodyDiv w:val="1"/>
      <w:marLeft w:val="0"/>
      <w:marRight w:val="0"/>
      <w:marTop w:val="0"/>
      <w:marBottom w:val="0"/>
      <w:divBdr>
        <w:top w:val="none" w:sz="0" w:space="0" w:color="auto"/>
        <w:left w:val="none" w:sz="0" w:space="0" w:color="auto"/>
        <w:bottom w:val="none" w:sz="0" w:space="0" w:color="auto"/>
        <w:right w:val="none" w:sz="0" w:space="0" w:color="auto"/>
      </w:divBdr>
    </w:div>
    <w:div w:id="4650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ec.europa.eu/transport/sites/transport/files/driver-attestations-in-road-freight-transport-2012-2016.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cnr.fr/en/CNR-Publications/2016-social-synthesis-of-CNR-s-European-stud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etf-europ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f@etf-europe.org" TargetMode="External"/><Relationship Id="rId14" Type="http://schemas.openxmlformats.org/officeDocument/2006/relationships/hyperlink" Target="http://www.cnr.fr/en/CNR-Publications/2016-social-synthesis-of-CNR-s-European-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24A4-CFCF-4DF1-B3CC-F385774B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ÖTV</Company>
  <LinksUpToDate>false</LinksUpToDate>
  <CharactersWithSpaces>6339</CharactersWithSpaces>
  <SharedDoc>false</SharedDoc>
  <HLinks>
    <vt:vector size="12" baseType="variant">
      <vt:variant>
        <vt:i4>3932286</vt:i4>
      </vt:variant>
      <vt:variant>
        <vt:i4>3</vt:i4>
      </vt:variant>
      <vt:variant>
        <vt:i4>0</vt:i4>
      </vt:variant>
      <vt:variant>
        <vt:i4>5</vt:i4>
      </vt:variant>
      <vt:variant>
        <vt:lpwstr>http://www.etf-europe.org/</vt:lpwstr>
      </vt:variant>
      <vt:variant>
        <vt:lpwstr/>
      </vt:variant>
      <vt:variant>
        <vt:i4>5832759</vt:i4>
      </vt:variant>
      <vt:variant>
        <vt:i4>0</vt:i4>
      </vt:variant>
      <vt:variant>
        <vt:i4>0</vt:i4>
      </vt:variant>
      <vt:variant>
        <vt:i4>5</vt:i4>
      </vt:variant>
      <vt:variant>
        <vt:lpwstr>mailto:etf@etf-europe.org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Dhaille</dc:creator>
  <cp:lastModifiedBy>Bryn Watkins</cp:lastModifiedBy>
  <cp:revision>2</cp:revision>
  <cp:lastPrinted>2013-06-19T07:33:00Z</cp:lastPrinted>
  <dcterms:created xsi:type="dcterms:W3CDTF">2018-11-27T15:10:00Z</dcterms:created>
  <dcterms:modified xsi:type="dcterms:W3CDTF">2018-11-27T15:10:00Z</dcterms:modified>
</cp:coreProperties>
</file>