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85AF" w14:textId="20CFCC50" w:rsidR="00C110DF" w:rsidRDefault="00C110DF">
      <w:pPr>
        <w:rPr>
          <w:rFonts w:ascii="Impact" w:eastAsia="Calibri" w:hAnsi="Impact" w:cs="Times New Roman"/>
          <w:color w:val="FFFFFF"/>
          <w:sz w:val="52"/>
          <w:lang w:val="fr-BE"/>
        </w:rPr>
      </w:pPr>
      <w:r>
        <w:rPr>
          <w:rFonts w:ascii="Impact" w:eastAsia="Calibri" w:hAnsi="Impact" w:cs="Times New Roman"/>
          <w:noProof/>
          <w:color w:val="FFFFFF"/>
          <w:sz w:val="52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32C9CF17" wp14:editId="15C54D43">
            <wp:simplePos x="0" y="0"/>
            <wp:positionH relativeFrom="margin">
              <wp:posOffset>-688530</wp:posOffset>
            </wp:positionH>
            <wp:positionV relativeFrom="paragraph">
              <wp:posOffset>-626110</wp:posOffset>
            </wp:positionV>
            <wp:extent cx="7210229" cy="10137744"/>
            <wp:effectExtent l="0" t="0" r="0" b="0"/>
            <wp:wrapNone/>
            <wp:docPr id="1" name="Picture 1" descr="X:\FAIR TRANSPORT 2.0\Materials\Manifesto\A3Poster2018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FAIR TRANSPORT 2.0\Materials\Manifesto\A3Poster2018_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29" cy="101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eastAsia="Calibri" w:hAnsi="Impact" w:cs="Times New Roman"/>
          <w:color w:val="FFFFFF"/>
          <w:sz w:val="52"/>
          <w:lang w:val="fr-BE"/>
        </w:rPr>
        <w:br w:type="page"/>
      </w:r>
    </w:p>
    <w:p w14:paraId="7D015820" w14:textId="2A8A498E" w:rsidR="0056269E" w:rsidRPr="00C110DF" w:rsidRDefault="00FA0397" w:rsidP="0056269E">
      <w:pPr>
        <w:spacing w:after="0"/>
        <w:jc w:val="both"/>
        <w:rPr>
          <w:rFonts w:ascii="Impact" w:eastAsia="Calibri" w:hAnsi="Impact" w:cs="Times New Roman"/>
          <w:color w:val="FFFFFF"/>
          <w:sz w:val="52"/>
          <w:lang w:val="de-DE"/>
        </w:rPr>
      </w:pPr>
      <w:r w:rsidRPr="00C110DF">
        <w:rPr>
          <w:rFonts w:ascii="Impact" w:eastAsia="Calibri" w:hAnsi="Impact" w:cs="Times New Roman"/>
          <w:color w:val="FFFFFF"/>
          <w:sz w:val="52"/>
          <w:lang w:val="de-DE"/>
        </w:rPr>
        <w:lastRenderedPageBreak/>
        <w:t xml:space="preserve"> </w:t>
      </w:r>
    </w:p>
    <w:p w14:paraId="244379C2" w14:textId="77777777" w:rsidR="00CF4345" w:rsidRDefault="0056269E" w:rsidP="00CF4345">
      <w:pPr>
        <w:spacing w:after="0"/>
        <w:jc w:val="both"/>
        <w:rPr>
          <w:rFonts w:ascii="Impact" w:eastAsia="Calibri" w:hAnsi="Impact" w:cs="Times New Roman"/>
          <w:color w:val="FFFFFF"/>
          <w:sz w:val="52"/>
          <w:lang w:val="de-DE"/>
        </w:rPr>
      </w:pPr>
      <w:r w:rsidRPr="00C110DF">
        <w:rPr>
          <w:rFonts w:ascii="Impact" w:eastAsia="Calibri" w:hAnsi="Impact" w:cs="Times New Roman"/>
          <w:color w:val="FFFFFF"/>
          <w:sz w:val="52"/>
          <w:lang w:val="de-DE"/>
        </w:rPr>
        <w:t xml:space="preserve"> </w:t>
      </w:r>
    </w:p>
    <w:p w14:paraId="2275B827" w14:textId="6EA7405B" w:rsidR="00C85CBD" w:rsidRPr="00C110DF" w:rsidRDefault="00384FBF" w:rsidP="001D0F5F">
      <w:pPr>
        <w:shd w:val="clear" w:color="auto" w:fill="59BEED"/>
        <w:spacing w:after="0"/>
        <w:jc w:val="both"/>
        <w:rPr>
          <w:rFonts w:ascii="Impact" w:eastAsia="Calibri" w:hAnsi="Impact" w:cs="Times New Roman"/>
          <w:color w:val="FFFFFF"/>
          <w:sz w:val="52"/>
          <w:lang w:val="de-DE"/>
        </w:rPr>
      </w:pPr>
      <w:r>
        <w:rPr>
          <w:rFonts w:ascii="Impact" w:eastAsia="Calibri" w:hAnsi="Impact" w:cs="Times New Roman"/>
          <w:color w:val="FFFFFF"/>
          <w:sz w:val="52"/>
          <w:lang w:val="de-DE"/>
        </w:rPr>
        <w:t xml:space="preserve"> </w:t>
      </w:r>
      <w:bookmarkStart w:id="0" w:name="_GoBack"/>
      <w:bookmarkEnd w:id="0"/>
      <w:r w:rsidR="00DB3585" w:rsidRPr="00C110DF">
        <w:rPr>
          <w:rFonts w:ascii="Impact" w:eastAsia="Calibri" w:hAnsi="Impact" w:cs="Times New Roman"/>
          <w:color w:val="FFFFFF"/>
          <w:sz w:val="52"/>
          <w:lang w:val="de-DE"/>
        </w:rPr>
        <w:t>F</w:t>
      </w:r>
      <w:r w:rsidR="00FA0397" w:rsidRPr="00C110DF">
        <w:rPr>
          <w:rFonts w:ascii="Impact" w:eastAsia="Calibri" w:hAnsi="Impact" w:cs="Times New Roman"/>
          <w:color w:val="FFFFFF"/>
          <w:sz w:val="52"/>
          <w:lang w:val="de-DE"/>
        </w:rPr>
        <w:t>AIR</w:t>
      </w:r>
      <w:r w:rsidR="00C110DF" w:rsidRPr="00C110DF">
        <w:rPr>
          <w:rFonts w:ascii="Impact" w:eastAsia="Calibri" w:hAnsi="Impact" w:cs="Times New Roman"/>
          <w:color w:val="FFFFFF"/>
          <w:sz w:val="52"/>
          <w:lang w:val="de-DE"/>
        </w:rPr>
        <w:t>ER</w:t>
      </w:r>
      <w:r w:rsidR="00FA0397" w:rsidRPr="00C110DF">
        <w:rPr>
          <w:rFonts w:ascii="Impact" w:eastAsia="Calibri" w:hAnsi="Impact" w:cs="Times New Roman"/>
          <w:color w:val="FFFFFF"/>
          <w:sz w:val="52"/>
          <w:lang w:val="de-DE"/>
        </w:rPr>
        <w:t xml:space="preserve"> TRANSPORT </w:t>
      </w:r>
      <w:r w:rsidR="00C110DF">
        <w:rPr>
          <w:rFonts w:ascii="Impact" w:eastAsia="Calibri" w:hAnsi="Impact" w:cs="Times New Roman"/>
          <w:color w:val="FFFFFF"/>
          <w:sz w:val="52"/>
          <w:lang w:val="de-DE"/>
        </w:rPr>
        <w:t xml:space="preserve">FÜR </w:t>
      </w:r>
      <w:r w:rsidR="00DB3585" w:rsidRPr="00C110DF">
        <w:rPr>
          <w:rFonts w:ascii="Impact" w:eastAsia="Calibri" w:hAnsi="Impact" w:cs="Times New Roman"/>
          <w:color w:val="FFFFFF"/>
          <w:sz w:val="52"/>
          <w:lang w:val="de-DE"/>
        </w:rPr>
        <w:t>E</w:t>
      </w:r>
      <w:r w:rsidR="00C110DF">
        <w:rPr>
          <w:rFonts w:ascii="Impact" w:eastAsia="Calibri" w:hAnsi="Impact" w:cs="Times New Roman"/>
          <w:color w:val="FFFFFF"/>
          <w:sz w:val="52"/>
          <w:lang w:val="de-DE"/>
        </w:rPr>
        <w:t>UROPA</w:t>
      </w:r>
    </w:p>
    <w:p w14:paraId="02C6EC1E" w14:textId="035E77E0" w:rsidR="00FA0397" w:rsidRPr="00C110DF" w:rsidRDefault="00FA0397" w:rsidP="001D0F5F">
      <w:pPr>
        <w:shd w:val="clear" w:color="auto" w:fill="59BEED"/>
        <w:spacing w:after="0"/>
        <w:jc w:val="both"/>
        <w:rPr>
          <w:rFonts w:ascii="Impact" w:eastAsia="Calibri" w:hAnsi="Impact" w:cs="Times New Roman"/>
          <w:color w:val="FFFFFF"/>
          <w:sz w:val="52"/>
          <w:lang w:val="de-DE"/>
        </w:rPr>
      </w:pPr>
      <w:r w:rsidRPr="00C110DF">
        <w:rPr>
          <w:rFonts w:ascii="Impact" w:eastAsia="Calibri" w:hAnsi="Impact" w:cs="Times New Roman"/>
          <w:color w:val="FFFFFF"/>
          <w:sz w:val="52"/>
          <w:lang w:val="de-DE"/>
        </w:rPr>
        <w:t xml:space="preserve"> Unser Progamm</w:t>
      </w:r>
    </w:p>
    <w:p w14:paraId="192672EF" w14:textId="77777777" w:rsidR="00C85CBD" w:rsidRPr="00C110DF" w:rsidRDefault="00C85CBD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6BD5B741" w14:textId="77777777" w:rsidR="00C00C88" w:rsidRPr="00C110DF" w:rsidRDefault="00C00C88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7313E83A" w14:textId="46609837" w:rsidR="0038582C" w:rsidRPr="0056269E" w:rsidRDefault="0038582C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Fair Transport Europe is</w:t>
      </w:r>
      <w:r w:rsidR="00DB3585" w:rsidRPr="0056269E">
        <w:rPr>
          <w:rFonts w:ascii="Arial Narrow" w:hAnsi="Arial Narrow"/>
          <w:sz w:val="24"/>
          <w:szCs w:val="24"/>
          <w:lang w:val="de-DE"/>
        </w:rPr>
        <w:t>t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="00DB3585" w:rsidRPr="0056269E">
        <w:rPr>
          <w:rFonts w:ascii="Arial Narrow" w:hAnsi="Arial Narrow"/>
          <w:sz w:val="24"/>
          <w:szCs w:val="24"/>
          <w:lang w:val="de-DE"/>
        </w:rPr>
        <w:t xml:space="preserve">eine Kampagne der </w:t>
      </w:r>
      <w:r w:rsidR="001D0F5F" w:rsidRPr="0056269E">
        <w:rPr>
          <w:rFonts w:ascii="Arial Narrow" w:hAnsi="Arial Narrow"/>
          <w:sz w:val="24"/>
          <w:szCs w:val="24"/>
          <w:lang w:val="de-DE"/>
        </w:rPr>
        <w:t>ETF</w:t>
      </w:r>
      <w:r w:rsidR="001D0F5F" w:rsidRPr="0056269E">
        <w:rPr>
          <w:rStyle w:val="FootnoteReference"/>
          <w:rFonts w:ascii="Arial Narrow" w:hAnsi="Arial Narrow"/>
          <w:sz w:val="24"/>
          <w:szCs w:val="24"/>
          <w:lang w:val="de-DE"/>
        </w:rPr>
        <w:footnoteReference w:id="1"/>
      </w:r>
      <w:r w:rsidR="001D0F5F"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="00DB3585" w:rsidRPr="0056269E">
        <w:rPr>
          <w:rFonts w:ascii="Arial Narrow" w:hAnsi="Arial Narrow"/>
          <w:sz w:val="24"/>
          <w:szCs w:val="24"/>
          <w:lang w:val="de-DE"/>
        </w:rPr>
        <w:t>gegen Sozialdumping im europäischen Transportsek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tor. </w:t>
      </w:r>
      <w:r w:rsidR="006A0BCE" w:rsidRPr="0056269E">
        <w:rPr>
          <w:rFonts w:ascii="Arial Narrow" w:hAnsi="Arial Narrow"/>
          <w:sz w:val="24"/>
          <w:szCs w:val="24"/>
          <w:lang w:val="de-DE"/>
        </w:rPr>
        <w:t xml:space="preserve">Die 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ETF </w:t>
      </w:r>
      <w:r w:rsidR="006A0BCE" w:rsidRPr="0056269E">
        <w:rPr>
          <w:rFonts w:ascii="Arial Narrow" w:hAnsi="Arial Narrow"/>
          <w:sz w:val="24"/>
          <w:szCs w:val="24"/>
          <w:lang w:val="de-DE"/>
        </w:rPr>
        <w:t>kämpft für hochwertige Arbeitsplätze für T</w:t>
      </w:r>
      <w:r w:rsidRPr="0056269E">
        <w:rPr>
          <w:rFonts w:ascii="Arial Narrow" w:hAnsi="Arial Narrow"/>
          <w:sz w:val="24"/>
          <w:szCs w:val="24"/>
          <w:lang w:val="de-DE"/>
        </w:rPr>
        <w:t>ransport</w:t>
      </w:r>
      <w:r w:rsidR="006A0BCE" w:rsidRPr="0056269E">
        <w:rPr>
          <w:rFonts w:ascii="Arial Narrow" w:hAnsi="Arial Narrow"/>
          <w:sz w:val="24"/>
          <w:szCs w:val="24"/>
          <w:lang w:val="de-DE"/>
        </w:rPr>
        <w:t>arbeiter/innen u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nd </w:t>
      </w:r>
      <w:r w:rsidR="006A0BCE" w:rsidRPr="0056269E">
        <w:rPr>
          <w:rFonts w:ascii="Arial Narrow" w:hAnsi="Arial Narrow"/>
          <w:sz w:val="24"/>
          <w:szCs w:val="24"/>
          <w:lang w:val="de-DE"/>
        </w:rPr>
        <w:t xml:space="preserve">eine sichere, zuverlässige </w:t>
      </w:r>
      <w:r w:rsidR="001A140C" w:rsidRPr="0056269E">
        <w:rPr>
          <w:rFonts w:ascii="Arial Narrow" w:hAnsi="Arial Narrow"/>
          <w:sz w:val="24"/>
          <w:szCs w:val="24"/>
          <w:lang w:val="de-DE"/>
        </w:rPr>
        <w:t xml:space="preserve">und bezahlbare </w:t>
      </w:r>
      <w:r w:rsidR="006A0BCE" w:rsidRPr="0056269E">
        <w:rPr>
          <w:rFonts w:ascii="Arial Narrow" w:hAnsi="Arial Narrow"/>
          <w:sz w:val="24"/>
          <w:szCs w:val="24"/>
          <w:lang w:val="de-DE"/>
        </w:rPr>
        <w:t>Dienstleistung für die Kunden/innen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="00B532AC" w:rsidRPr="0056269E">
        <w:rPr>
          <w:rFonts w:ascii="Arial Narrow" w:hAnsi="Arial Narrow"/>
          <w:sz w:val="24"/>
          <w:szCs w:val="24"/>
          <w:lang w:val="de-DE"/>
        </w:rPr>
        <w:t>Die europäischen T</w:t>
      </w:r>
      <w:r w:rsidRPr="0056269E">
        <w:rPr>
          <w:rFonts w:ascii="Arial Narrow" w:hAnsi="Arial Narrow"/>
          <w:sz w:val="24"/>
          <w:szCs w:val="24"/>
          <w:lang w:val="de-DE"/>
        </w:rPr>
        <w:t>ransport</w:t>
      </w:r>
      <w:r w:rsidR="00B532AC" w:rsidRPr="0056269E">
        <w:rPr>
          <w:rFonts w:ascii="Arial Narrow" w:hAnsi="Arial Narrow"/>
          <w:sz w:val="24"/>
          <w:szCs w:val="24"/>
          <w:lang w:val="de-DE"/>
        </w:rPr>
        <w:t xml:space="preserve">gewerkschaften </w:t>
      </w:r>
      <w:r w:rsidR="00564CED" w:rsidRPr="0056269E">
        <w:rPr>
          <w:rFonts w:ascii="Arial Narrow" w:hAnsi="Arial Narrow"/>
          <w:sz w:val="24"/>
          <w:szCs w:val="24"/>
          <w:lang w:val="de-DE"/>
        </w:rPr>
        <w:t>schließen sich zusammen und fordern ein</w:t>
      </w:r>
      <w:r w:rsidR="00B532AC" w:rsidRPr="0056269E">
        <w:rPr>
          <w:rFonts w:ascii="Arial Narrow" w:hAnsi="Arial Narrow"/>
          <w:sz w:val="24"/>
          <w:szCs w:val="24"/>
          <w:lang w:val="de-DE"/>
        </w:rPr>
        <w:t xml:space="preserve"> Ende des unlauteren Wettbewerbs und der Ausbeutung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. </w:t>
      </w:r>
    </w:p>
    <w:p w14:paraId="5DC0FC1E" w14:textId="77777777" w:rsidR="00D0548C" w:rsidRPr="0056269E" w:rsidRDefault="00D0548C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4F94FF43" w14:textId="53820E4D" w:rsidR="0038582C" w:rsidRPr="0056269E" w:rsidRDefault="00B532AC" w:rsidP="001D0F5F">
      <w:pPr>
        <w:spacing w:after="0"/>
        <w:jc w:val="both"/>
        <w:rPr>
          <w:rFonts w:ascii="Arial Narrow" w:hAnsi="Arial Narrow"/>
          <w:b/>
          <w:sz w:val="28"/>
          <w:szCs w:val="28"/>
          <w:lang w:val="de-DE"/>
        </w:rPr>
      </w:pPr>
      <w:r w:rsidRPr="0056269E">
        <w:rPr>
          <w:rFonts w:ascii="Arial Narrow" w:hAnsi="Arial Narrow"/>
          <w:b/>
          <w:sz w:val="28"/>
          <w:szCs w:val="28"/>
          <w:lang w:val="de-DE"/>
        </w:rPr>
        <w:t>Schluss mit Sozialdumping u</w:t>
      </w:r>
      <w:r w:rsidR="0038582C" w:rsidRPr="0056269E">
        <w:rPr>
          <w:rFonts w:ascii="Arial Narrow" w:hAnsi="Arial Narrow"/>
          <w:b/>
          <w:sz w:val="28"/>
          <w:szCs w:val="28"/>
          <w:lang w:val="de-DE"/>
        </w:rPr>
        <w:t xml:space="preserve">nd </w:t>
      </w:r>
      <w:r w:rsidRPr="0056269E">
        <w:rPr>
          <w:rFonts w:ascii="Arial Narrow" w:hAnsi="Arial Narrow"/>
          <w:b/>
          <w:sz w:val="28"/>
          <w:szCs w:val="28"/>
          <w:lang w:val="de-DE"/>
        </w:rPr>
        <w:t>Lohnausbeutung</w:t>
      </w:r>
    </w:p>
    <w:p w14:paraId="22118A8E" w14:textId="77777777" w:rsidR="00D0548C" w:rsidRPr="0056269E" w:rsidRDefault="00D0548C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15FD1B91" w14:textId="7734C057" w:rsidR="0038582C" w:rsidRPr="0056269E" w:rsidRDefault="00B532AC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Sozial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dumping </w:t>
      </w:r>
      <w:r w:rsidRPr="0056269E">
        <w:rPr>
          <w:rFonts w:ascii="Arial Narrow" w:hAnsi="Arial Narrow"/>
          <w:sz w:val="24"/>
          <w:szCs w:val="24"/>
          <w:lang w:val="de-DE"/>
        </w:rPr>
        <w:t>beeinträchtigt T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ransport</w:t>
      </w:r>
      <w:r w:rsidRPr="0056269E">
        <w:rPr>
          <w:rFonts w:ascii="Arial Narrow" w:hAnsi="Arial Narrow"/>
          <w:sz w:val="24"/>
          <w:szCs w:val="24"/>
          <w:lang w:val="de-DE"/>
        </w:rPr>
        <w:t>arbeiter/innen in ganz Europa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:</w:t>
      </w:r>
    </w:p>
    <w:p w14:paraId="2A174313" w14:textId="77777777" w:rsidR="00D0548C" w:rsidRPr="0056269E" w:rsidRDefault="00D0548C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</w:p>
    <w:p w14:paraId="5974E89F" w14:textId="7CB859CF" w:rsidR="0038582C" w:rsidRPr="0056269E" w:rsidRDefault="00B532A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In andere Länder entsandte Beschäftigte verdi</w:t>
      </w:r>
      <w:r w:rsidR="00564CED" w:rsidRPr="0056269E">
        <w:rPr>
          <w:rFonts w:ascii="Arial Narrow" w:hAnsi="Arial Narrow"/>
          <w:sz w:val="24"/>
          <w:szCs w:val="24"/>
          <w:lang w:val="de-DE"/>
        </w:rPr>
        <w:t>enen oft weniger als lok</w:t>
      </w:r>
      <w:r w:rsidRPr="0056269E">
        <w:rPr>
          <w:rFonts w:ascii="Arial Narrow" w:hAnsi="Arial Narrow"/>
          <w:sz w:val="24"/>
          <w:szCs w:val="24"/>
          <w:lang w:val="de-DE"/>
        </w:rPr>
        <w:t>ale Arbeitskräfte;</w:t>
      </w:r>
    </w:p>
    <w:p w14:paraId="750D08DB" w14:textId="2A48D0E1" w:rsidR="0038582C" w:rsidRPr="0056269E" w:rsidRDefault="00B532A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Gefährlich lange Arbeitszeiten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, </w:t>
      </w:r>
      <w:r w:rsidRPr="0056269E">
        <w:rPr>
          <w:rFonts w:ascii="Arial Narrow" w:hAnsi="Arial Narrow"/>
          <w:sz w:val="24"/>
          <w:szCs w:val="24"/>
          <w:lang w:val="de-DE"/>
        </w:rPr>
        <w:t>da Arbeitgeber und Regierungen die Ruhezeitregeln ignorieren;</w:t>
      </w:r>
    </w:p>
    <w:p w14:paraId="1019A562" w14:textId="0B0150E6" w:rsidR="0038582C" w:rsidRPr="0056269E" w:rsidRDefault="00B532A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Vernichtung von Arbeitsplätzen durch unlauteren Wettbewerb ausgehend von Kosten und nicht von Qualität;</w:t>
      </w:r>
    </w:p>
    <w:p w14:paraId="42EA62C3" w14:textId="796D2400" w:rsidR="0038582C" w:rsidRPr="0056269E" w:rsidRDefault="0038582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International</w:t>
      </w:r>
      <w:r w:rsidR="00B532AC" w:rsidRPr="0056269E">
        <w:rPr>
          <w:rFonts w:ascii="Arial Narrow" w:hAnsi="Arial Narrow"/>
          <w:sz w:val="24"/>
          <w:szCs w:val="24"/>
          <w:lang w:val="de-DE"/>
        </w:rPr>
        <w:t>e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="00B532AC" w:rsidRPr="0056269E">
        <w:rPr>
          <w:rFonts w:ascii="Arial Narrow" w:hAnsi="Arial Narrow"/>
          <w:sz w:val="24"/>
          <w:szCs w:val="24"/>
          <w:lang w:val="de-DE"/>
        </w:rPr>
        <w:t>Unternehmen auf Einkaufstour wählen die billigsten Verträge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="00B532AC" w:rsidRPr="0056269E">
        <w:rPr>
          <w:rFonts w:ascii="Arial Narrow" w:hAnsi="Arial Narrow"/>
          <w:sz w:val="24"/>
          <w:szCs w:val="24"/>
          <w:lang w:val="de-DE"/>
        </w:rPr>
        <w:t>und lassen die Beschäftigten ohne klaren Zugang zu gesundheitlicher Versorgung und sozialer Absicherung zurück;</w:t>
      </w:r>
    </w:p>
    <w:p w14:paraId="34DBBB97" w14:textId="167975E1" w:rsidR="0038582C" w:rsidRPr="0056269E" w:rsidRDefault="00B532A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Beschäftigte werden in kurzfristige und prekäre Arbeitsverhältnisse gedrängt;</w:t>
      </w:r>
    </w:p>
    <w:p w14:paraId="6CB86725" w14:textId="722AE84A" w:rsidR="0038582C" w:rsidRPr="0056269E" w:rsidRDefault="00B532AC" w:rsidP="001D0F5F">
      <w:pPr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Ständige Auftragsuntervergabe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, 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Zeit- und Leiharbeit sowie Scheinselbständigkeit 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– </w:t>
      </w:r>
      <w:r w:rsidRPr="0056269E">
        <w:rPr>
          <w:rFonts w:ascii="Arial Narrow" w:hAnsi="Arial Narrow"/>
          <w:sz w:val="24"/>
          <w:szCs w:val="24"/>
          <w:lang w:val="de-DE"/>
        </w:rPr>
        <w:t>das führt zu einem Bruch der Verbindung zwischen Personal und Arbeitgebern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.</w:t>
      </w:r>
    </w:p>
    <w:p w14:paraId="7959E7BB" w14:textId="77777777" w:rsidR="001D0F5F" w:rsidRPr="0056269E" w:rsidRDefault="001D0F5F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</w:p>
    <w:p w14:paraId="091BE35A" w14:textId="4D8385EB" w:rsidR="0038582C" w:rsidRPr="0056269E" w:rsidRDefault="00B532AC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Unternehmen, die exzessivem Wettbewerb ausgesetzt sind, reagieren oft mit Sozialdumping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Pr="0056269E">
        <w:rPr>
          <w:rFonts w:ascii="Arial Narrow" w:hAnsi="Arial Narrow"/>
          <w:sz w:val="24"/>
          <w:szCs w:val="24"/>
          <w:lang w:val="de-DE"/>
        </w:rPr>
        <w:t>Sie vermeiden oder missachten Sozialvorschriften im Namen kurzfristiger Profite. Dieses Sozial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dumping </w:t>
      </w:r>
      <w:r w:rsidR="008A4C90" w:rsidRPr="0056269E">
        <w:rPr>
          <w:rFonts w:ascii="Arial Narrow" w:hAnsi="Arial Narrow"/>
          <w:sz w:val="24"/>
          <w:szCs w:val="24"/>
          <w:lang w:val="de-DE"/>
        </w:rPr>
        <w:t xml:space="preserve">drückt europaweit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 xml:space="preserve">die </w:t>
      </w:r>
      <w:r w:rsidR="008A4C90" w:rsidRPr="0056269E">
        <w:rPr>
          <w:rFonts w:ascii="Arial Narrow" w:hAnsi="Arial Narrow"/>
          <w:sz w:val="24"/>
          <w:szCs w:val="24"/>
          <w:lang w:val="de-DE"/>
        </w:rPr>
        <w:t xml:space="preserve">Löhne und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 xml:space="preserve">die </w:t>
      </w:r>
      <w:r w:rsidR="008A4C90" w:rsidRPr="0056269E">
        <w:rPr>
          <w:rFonts w:ascii="Arial Narrow" w:hAnsi="Arial Narrow"/>
          <w:sz w:val="24"/>
          <w:szCs w:val="24"/>
          <w:lang w:val="de-DE"/>
        </w:rPr>
        <w:t>Arbeitsbedingungen für d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e</w:t>
      </w:r>
      <w:r w:rsidR="008A4C90" w:rsidRPr="0056269E">
        <w:rPr>
          <w:rFonts w:ascii="Arial Narrow" w:hAnsi="Arial Narrow"/>
          <w:sz w:val="24"/>
          <w:szCs w:val="24"/>
          <w:lang w:val="de-DE"/>
        </w:rPr>
        <w:t>n Transportsek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tor. </w:t>
      </w:r>
      <w:r w:rsidR="008A4C90" w:rsidRPr="0056269E">
        <w:rPr>
          <w:rFonts w:ascii="Arial Narrow" w:hAnsi="Arial Narrow"/>
          <w:sz w:val="24"/>
          <w:szCs w:val="24"/>
          <w:lang w:val="de-DE"/>
        </w:rPr>
        <w:t xml:space="preserve">Zudem fördert es die Spaltung zwischen Menschen aus verschiedenen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>Länder- und Fachgruppen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>Das stellt nicht nur eine Bedrohung für Arbeitsplätze im Transportwesen dar, sondern eine Gefahr für den sozialen Zusammenhalt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>u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nd </w:t>
      </w:r>
      <w:r w:rsidR="000B3330" w:rsidRPr="0056269E">
        <w:rPr>
          <w:rFonts w:ascii="Arial Narrow" w:hAnsi="Arial Narrow"/>
          <w:sz w:val="24"/>
          <w:szCs w:val="24"/>
          <w:lang w:val="de-DE"/>
        </w:rPr>
        <w:t>den Glauben der Menschen in eine offene europäische Gesellschaft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.</w:t>
      </w:r>
    </w:p>
    <w:p w14:paraId="0DEDB543" w14:textId="77777777" w:rsidR="00D0548C" w:rsidRPr="0056269E" w:rsidRDefault="00D0548C" w:rsidP="001D0F5F">
      <w:pPr>
        <w:spacing w:after="0"/>
        <w:jc w:val="both"/>
        <w:rPr>
          <w:rFonts w:ascii="Arial Narrow" w:hAnsi="Arial Narrow"/>
          <w:b/>
          <w:lang w:val="de-DE"/>
        </w:rPr>
      </w:pPr>
    </w:p>
    <w:p w14:paraId="509CFBD5" w14:textId="77777777" w:rsidR="0056269E" w:rsidRDefault="0056269E">
      <w:pPr>
        <w:rPr>
          <w:rFonts w:ascii="Arial Narrow" w:hAnsi="Arial Narrow"/>
          <w:b/>
          <w:sz w:val="28"/>
          <w:szCs w:val="28"/>
          <w:lang w:val="de-DE"/>
        </w:rPr>
      </w:pPr>
      <w:r>
        <w:rPr>
          <w:rFonts w:ascii="Arial Narrow" w:hAnsi="Arial Narrow"/>
          <w:b/>
          <w:sz w:val="28"/>
          <w:szCs w:val="28"/>
          <w:lang w:val="de-DE"/>
        </w:rPr>
        <w:br w:type="page"/>
      </w:r>
    </w:p>
    <w:p w14:paraId="31760D65" w14:textId="77777777" w:rsidR="0056269E" w:rsidRDefault="0056269E" w:rsidP="001D0F5F">
      <w:pPr>
        <w:spacing w:after="0"/>
        <w:jc w:val="both"/>
        <w:rPr>
          <w:rFonts w:ascii="Arial Narrow" w:hAnsi="Arial Narrow"/>
          <w:b/>
          <w:sz w:val="28"/>
          <w:szCs w:val="28"/>
          <w:lang w:val="de-DE"/>
        </w:rPr>
      </w:pPr>
    </w:p>
    <w:p w14:paraId="3DD98994" w14:textId="77777777" w:rsidR="00CF4345" w:rsidRDefault="00CF4345" w:rsidP="001D0F5F">
      <w:pPr>
        <w:spacing w:after="0"/>
        <w:jc w:val="both"/>
        <w:rPr>
          <w:rFonts w:ascii="Arial Narrow" w:hAnsi="Arial Narrow"/>
          <w:b/>
          <w:sz w:val="28"/>
          <w:szCs w:val="28"/>
          <w:lang w:val="de-DE"/>
        </w:rPr>
      </w:pPr>
    </w:p>
    <w:p w14:paraId="734F7C57" w14:textId="0A6E9D80" w:rsidR="00C85CBD" w:rsidRPr="0056269E" w:rsidRDefault="00C85CBD" w:rsidP="001D0F5F">
      <w:pPr>
        <w:spacing w:after="0"/>
        <w:jc w:val="both"/>
        <w:rPr>
          <w:rFonts w:ascii="Arial Narrow" w:hAnsi="Arial Narrow"/>
          <w:sz w:val="28"/>
          <w:szCs w:val="28"/>
          <w:lang w:val="de-DE"/>
        </w:rPr>
      </w:pPr>
      <w:r w:rsidRPr="0056269E">
        <w:rPr>
          <w:rFonts w:ascii="Arial Narrow" w:hAnsi="Arial Narrow"/>
          <w:b/>
          <w:sz w:val="28"/>
          <w:szCs w:val="28"/>
          <w:lang w:val="de-DE"/>
        </w:rPr>
        <w:t>Fair</w:t>
      </w:r>
      <w:r w:rsidR="000B3330" w:rsidRPr="0056269E">
        <w:rPr>
          <w:rFonts w:ascii="Arial Narrow" w:hAnsi="Arial Narrow"/>
          <w:b/>
          <w:sz w:val="28"/>
          <w:szCs w:val="28"/>
          <w:lang w:val="de-DE"/>
        </w:rPr>
        <w:t>er Transport fü</w:t>
      </w:r>
      <w:r w:rsidRPr="0056269E">
        <w:rPr>
          <w:rFonts w:ascii="Arial Narrow" w:hAnsi="Arial Narrow"/>
          <w:b/>
          <w:sz w:val="28"/>
          <w:szCs w:val="28"/>
          <w:lang w:val="de-DE"/>
        </w:rPr>
        <w:t>r Europ</w:t>
      </w:r>
      <w:r w:rsidR="000B3330" w:rsidRPr="0056269E">
        <w:rPr>
          <w:rFonts w:ascii="Arial Narrow" w:hAnsi="Arial Narrow"/>
          <w:b/>
          <w:sz w:val="28"/>
          <w:szCs w:val="28"/>
          <w:lang w:val="de-DE"/>
        </w:rPr>
        <w:t>a</w:t>
      </w:r>
    </w:p>
    <w:p w14:paraId="069F4E7B" w14:textId="77777777" w:rsidR="00C00C88" w:rsidRPr="0056269E" w:rsidRDefault="00C00C88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4B620DDD" w14:textId="20709A61" w:rsidR="0038582C" w:rsidRPr="0056269E" w:rsidRDefault="000B3330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>Es gibt einen anderen Weg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.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D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e</w:t>
      </w:r>
      <w:r w:rsidRPr="0056269E">
        <w:rPr>
          <w:rFonts w:ascii="Arial Narrow" w:hAnsi="Arial Narrow"/>
          <w:sz w:val="24"/>
          <w:szCs w:val="24"/>
          <w:lang w:val="de-DE"/>
        </w:rPr>
        <w:t>r Transportsektor k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an</w:t>
      </w:r>
      <w:r w:rsidRPr="0056269E">
        <w:rPr>
          <w:rFonts w:ascii="Arial Narrow" w:hAnsi="Arial Narrow"/>
          <w:sz w:val="24"/>
          <w:szCs w:val="24"/>
          <w:lang w:val="de-DE"/>
        </w:rPr>
        <w:t>n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Pr="0056269E">
        <w:rPr>
          <w:rFonts w:ascii="Arial Narrow" w:hAnsi="Arial Narrow"/>
          <w:sz w:val="24"/>
          <w:szCs w:val="24"/>
          <w:lang w:val="de-DE"/>
        </w:rPr>
        <w:t>Millionen hochwertiger Arbeitsplätze für die Europäer/innen schaffen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="001A140C" w:rsidRPr="0056269E">
        <w:rPr>
          <w:rFonts w:ascii="Arial Narrow" w:hAnsi="Arial Narrow"/>
          <w:sz w:val="24"/>
          <w:szCs w:val="24"/>
          <w:lang w:val="de-DE"/>
        </w:rPr>
        <w:t xml:space="preserve">Insbesondere der Anteil der Arbeitnehmerinnen im Transport sollte zunehmen. 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S</w:t>
      </w:r>
      <w:r w:rsidRPr="0056269E">
        <w:rPr>
          <w:rFonts w:ascii="Arial Narrow" w:hAnsi="Arial Narrow"/>
          <w:sz w:val="24"/>
          <w:szCs w:val="24"/>
          <w:lang w:val="de-DE"/>
        </w:rPr>
        <w:t>ichere Arbeitsverträge, adä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quate 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Entlohnung und </w:t>
      </w:r>
      <w:r w:rsidR="00C10074" w:rsidRPr="0056269E">
        <w:rPr>
          <w:rFonts w:ascii="Arial Narrow" w:hAnsi="Arial Narrow"/>
          <w:sz w:val="24"/>
          <w:szCs w:val="24"/>
          <w:lang w:val="de-DE"/>
        </w:rPr>
        <w:t xml:space="preserve">faire Arbeitsbedingungen sind keine überzogenen Forderungen </w:t>
      </w:r>
      <w:r w:rsidR="0038582C" w:rsidRPr="0056269E">
        <w:rPr>
          <w:rFonts w:ascii="Arial Narrow" w:hAnsi="Arial Narrow"/>
          <w:sz w:val="24"/>
          <w:szCs w:val="24"/>
          <w:lang w:val="de-DE"/>
        </w:rPr>
        <w:t xml:space="preserve">– </w:t>
      </w:r>
      <w:r w:rsidR="00C10074" w:rsidRPr="0056269E">
        <w:rPr>
          <w:rFonts w:ascii="Arial Narrow" w:hAnsi="Arial Narrow"/>
          <w:sz w:val="24"/>
          <w:szCs w:val="24"/>
          <w:lang w:val="de-DE"/>
        </w:rPr>
        <w:t>sie sind universelle Rechte</w:t>
      </w:r>
      <w:r w:rsidR="0038582C" w:rsidRPr="0056269E">
        <w:rPr>
          <w:rFonts w:ascii="Arial Narrow" w:hAnsi="Arial Narrow"/>
          <w:sz w:val="24"/>
          <w:szCs w:val="24"/>
          <w:lang w:val="de-DE"/>
        </w:rPr>
        <w:t>.</w:t>
      </w:r>
    </w:p>
    <w:p w14:paraId="0BBAC5A8" w14:textId="77777777" w:rsidR="00D0548C" w:rsidRPr="0056269E" w:rsidRDefault="00D0548C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</w:p>
    <w:p w14:paraId="4C8D10E2" w14:textId="148D82AB" w:rsidR="00C00C88" w:rsidRPr="0056269E" w:rsidRDefault="00C10074" w:rsidP="00C00C88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 xml:space="preserve">Wir können nicht zulassen, dass </w:t>
      </w:r>
      <w:r w:rsidR="008A4C90" w:rsidRPr="0056269E">
        <w:rPr>
          <w:rFonts w:ascii="Arial Narrow" w:hAnsi="Arial Narrow"/>
          <w:sz w:val="24"/>
          <w:szCs w:val="24"/>
          <w:lang w:val="de-DE"/>
        </w:rPr>
        <w:t>Sozialdumping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Pr="0056269E">
        <w:rPr>
          <w:rFonts w:ascii="Arial Narrow" w:hAnsi="Arial Narrow"/>
          <w:sz w:val="24"/>
          <w:szCs w:val="24"/>
          <w:lang w:val="de-DE"/>
        </w:rPr>
        <w:t>alle hochwertigen Arbeitsplätze vernichtet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Pr="0056269E">
        <w:rPr>
          <w:rFonts w:ascii="Arial Narrow" w:hAnsi="Arial Narrow"/>
          <w:sz w:val="24"/>
          <w:szCs w:val="24"/>
          <w:lang w:val="de-DE"/>
        </w:rPr>
        <w:t>Die ETF u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nd </w:t>
      </w:r>
      <w:r w:rsidRPr="0056269E">
        <w:rPr>
          <w:rFonts w:ascii="Arial Narrow" w:hAnsi="Arial Narrow"/>
          <w:sz w:val="24"/>
          <w:szCs w:val="24"/>
          <w:lang w:val="de-DE"/>
        </w:rPr>
        <w:t>ihre Mitgliedsorganisationen erwarten klare Zusagen seitens der Politiker/innen,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 </w:t>
      </w:r>
      <w:r w:rsidRPr="0056269E">
        <w:rPr>
          <w:rFonts w:ascii="Arial Narrow" w:hAnsi="Arial Narrow"/>
          <w:sz w:val="24"/>
          <w:szCs w:val="24"/>
          <w:lang w:val="de-DE"/>
        </w:rPr>
        <w:t>wonach sie hochwertige Beschäftigung im Transportsektor verteidigen und entwickeln werden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. </w:t>
      </w:r>
      <w:r w:rsidRPr="0056269E">
        <w:rPr>
          <w:rFonts w:ascii="Arial Narrow" w:hAnsi="Arial Narrow"/>
          <w:sz w:val="24"/>
          <w:szCs w:val="24"/>
          <w:lang w:val="de-DE"/>
        </w:rPr>
        <w:t>Das ist f</w:t>
      </w:r>
      <w:r w:rsidR="00C00C88" w:rsidRPr="0056269E">
        <w:rPr>
          <w:rFonts w:ascii="Arial Narrow" w:hAnsi="Arial Narrow"/>
          <w:sz w:val="24"/>
          <w:szCs w:val="24"/>
          <w:lang w:val="de-DE"/>
        </w:rPr>
        <w:t>air</w:t>
      </w:r>
      <w:r w:rsidRPr="0056269E">
        <w:rPr>
          <w:rFonts w:ascii="Arial Narrow" w:hAnsi="Arial Narrow"/>
          <w:sz w:val="24"/>
          <w:szCs w:val="24"/>
          <w:lang w:val="de-DE"/>
        </w:rPr>
        <w:t>er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 Transport!</w:t>
      </w:r>
    </w:p>
    <w:p w14:paraId="18ABB3C9" w14:textId="77777777" w:rsidR="00C00C88" w:rsidRPr="0056269E" w:rsidRDefault="00C00C88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</w:p>
    <w:p w14:paraId="2E6B950B" w14:textId="2469FDFE" w:rsidR="00D0548C" w:rsidRPr="0056269E" w:rsidRDefault="00C10074" w:rsidP="001D0F5F">
      <w:p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 w:rsidRPr="0056269E">
        <w:rPr>
          <w:rFonts w:ascii="Arial Narrow" w:hAnsi="Arial Narrow"/>
          <w:sz w:val="24"/>
          <w:szCs w:val="24"/>
          <w:lang w:val="de-DE"/>
        </w:rPr>
        <w:t xml:space="preserve">Bei einer Umsetzung </w:t>
      </w:r>
      <w:r w:rsidR="001A140C" w:rsidRPr="0056269E">
        <w:rPr>
          <w:rFonts w:ascii="Arial Narrow" w:hAnsi="Arial Narrow"/>
          <w:sz w:val="24"/>
          <w:szCs w:val="24"/>
          <w:lang w:val="de-DE"/>
        </w:rPr>
        <w:t>werden die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unten aufgeführte</w:t>
      </w:r>
      <w:r w:rsidR="001A140C" w:rsidRPr="0056269E">
        <w:rPr>
          <w:rFonts w:ascii="Arial Narrow" w:hAnsi="Arial Narrow"/>
          <w:sz w:val="24"/>
          <w:szCs w:val="24"/>
          <w:lang w:val="de-DE"/>
        </w:rPr>
        <w:t>n Vorschlä</w:t>
      </w:r>
      <w:r w:rsidRPr="0056269E">
        <w:rPr>
          <w:rFonts w:ascii="Arial Narrow" w:hAnsi="Arial Narrow"/>
          <w:sz w:val="24"/>
          <w:szCs w:val="24"/>
          <w:lang w:val="de-DE"/>
        </w:rPr>
        <w:t>g</w:t>
      </w:r>
      <w:r w:rsidR="001A140C" w:rsidRPr="0056269E">
        <w:rPr>
          <w:rFonts w:ascii="Arial Narrow" w:hAnsi="Arial Narrow"/>
          <w:sz w:val="24"/>
          <w:szCs w:val="24"/>
          <w:lang w:val="de-DE"/>
        </w:rPr>
        <w:t>e</w:t>
      </w:r>
      <w:r w:rsidRPr="0056269E">
        <w:rPr>
          <w:rFonts w:ascii="Arial Narrow" w:hAnsi="Arial Narrow"/>
          <w:sz w:val="24"/>
          <w:szCs w:val="24"/>
          <w:lang w:val="de-DE"/>
        </w:rPr>
        <w:t xml:space="preserve"> sicherlich zu einer faireren Transportbranche beitragen</w:t>
      </w:r>
      <w:r w:rsidR="00C00C88" w:rsidRPr="0056269E">
        <w:rPr>
          <w:rFonts w:ascii="Arial Narrow" w:hAnsi="Arial Narrow"/>
          <w:sz w:val="24"/>
          <w:szCs w:val="24"/>
          <w:lang w:val="de-DE"/>
        </w:rPr>
        <w:t xml:space="preserve">, </w:t>
      </w:r>
      <w:r w:rsidRPr="0056269E">
        <w:rPr>
          <w:rFonts w:ascii="Arial Narrow" w:hAnsi="Arial Narrow"/>
          <w:sz w:val="24"/>
          <w:szCs w:val="24"/>
          <w:lang w:val="de-DE"/>
        </w:rPr>
        <w:t>in der den Beschäftigten menschenwürdige Arbeitsbedingungen sowie ein fairer Teil des von ihnen erzeugten Reichtums sicher sind</w:t>
      </w:r>
      <w:r w:rsidR="00C00C88" w:rsidRPr="0056269E">
        <w:rPr>
          <w:rFonts w:ascii="Arial Narrow" w:hAnsi="Arial Narrow"/>
          <w:sz w:val="24"/>
          <w:szCs w:val="24"/>
          <w:lang w:val="de-DE"/>
        </w:rPr>
        <w:t>.</w:t>
      </w:r>
    </w:p>
    <w:p w14:paraId="5EC16E5B" w14:textId="77777777" w:rsidR="00C85CBD" w:rsidRPr="0056269E" w:rsidRDefault="00C85CBD" w:rsidP="001D0F5F">
      <w:pPr>
        <w:spacing w:after="0"/>
        <w:jc w:val="both"/>
        <w:rPr>
          <w:rFonts w:ascii="Arial Narrow" w:hAnsi="Arial Narrow"/>
          <w:lang w:val="de-DE"/>
        </w:rPr>
      </w:pPr>
    </w:p>
    <w:p w14:paraId="0D5CDFCD" w14:textId="070D71E2" w:rsidR="00C00C88" w:rsidRPr="0056269E" w:rsidRDefault="00564CED" w:rsidP="00C00C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contextualSpacing/>
        <w:jc w:val="both"/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  <w:t>Mehr u</w:t>
      </w:r>
      <w:r w:rsidR="00C00C88" w:rsidRPr="0056269E"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  <w:t>nd fair</w:t>
      </w:r>
      <w:r w:rsidRPr="0056269E"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  <w:t>e Arbeitsplätze für e</w:t>
      </w:r>
      <w:r w:rsidR="00C00C88" w:rsidRPr="0056269E"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  <w:t>urop</w:t>
      </w:r>
      <w:r w:rsidRPr="0056269E">
        <w:rPr>
          <w:rFonts w:ascii="Arial Narrow" w:eastAsia="Lato" w:hAnsi="Arial Narrow" w:cs="Arial"/>
          <w:b/>
          <w:color w:val="000000"/>
          <w:sz w:val="24"/>
          <w:szCs w:val="24"/>
          <w:lang w:val="de-DE" w:eastAsia="fr-FR"/>
        </w:rPr>
        <w:t>äische Transportarbeiter/innen</w:t>
      </w:r>
    </w:p>
    <w:p w14:paraId="3F0279D0" w14:textId="77777777" w:rsidR="00C00C88" w:rsidRPr="0056269E" w:rsidRDefault="00C00C88" w:rsidP="00C00C88">
      <w:pPr>
        <w:pBdr>
          <w:top w:val="nil"/>
          <w:left w:val="nil"/>
          <w:bottom w:val="nil"/>
          <w:right w:val="nil"/>
          <w:between w:val="nil"/>
        </w:pBdr>
        <w:ind w:right="-2"/>
        <w:contextualSpacing/>
        <w:jc w:val="both"/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</w:pPr>
    </w:p>
    <w:p w14:paraId="5D07FF32" w14:textId="4A21FD72" w:rsidR="00C00C88" w:rsidRPr="0056269E" w:rsidRDefault="00564CED" w:rsidP="00C00C88">
      <w:pPr>
        <w:pBdr>
          <w:top w:val="nil"/>
          <w:left w:val="nil"/>
          <w:bottom w:val="nil"/>
          <w:right w:val="nil"/>
          <w:between w:val="nil"/>
        </w:pBdr>
        <w:ind w:right="-2"/>
        <w:contextualSpacing/>
        <w:jc w:val="both"/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Gemäß der Angaben der Europäischen Kommission beschäftigt der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ransport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-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Lagerdienstleistungssektor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(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einschließlich Post- und K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urier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dienste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)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2015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in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 EU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28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-Staatengemeinschaft 11,2 M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illion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en Personen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. Die Gesamtbeschäftigung wächst zwar im Transportwesen, </w:t>
      </w:r>
      <w:r w:rsidR="005E75CE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je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doch</w:t>
      </w:r>
      <w:r w:rsidR="001B4FFD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stagnieren mehrere Sektoren bzw. entwickeln sich rückläufig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</w:t>
      </w:r>
      <w:r w:rsidR="001B4FFD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(z.B. Luftfahrt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).</w:t>
      </w:r>
    </w:p>
    <w:p w14:paraId="16D60AD1" w14:textId="77777777" w:rsidR="00C00C88" w:rsidRPr="0056269E" w:rsidRDefault="00C00C88" w:rsidP="00C00C88">
      <w:pPr>
        <w:pBdr>
          <w:top w:val="nil"/>
          <w:left w:val="nil"/>
          <w:bottom w:val="nil"/>
          <w:right w:val="nil"/>
          <w:between w:val="nil"/>
        </w:pBdr>
        <w:ind w:right="-2"/>
        <w:contextualSpacing/>
        <w:jc w:val="both"/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</w:pPr>
    </w:p>
    <w:p w14:paraId="2C69ABC0" w14:textId="10593A65" w:rsidR="00C00C88" w:rsidRPr="0056269E" w:rsidRDefault="001B4FFD" w:rsidP="00C00C88">
      <w:pPr>
        <w:pBdr>
          <w:top w:val="nil"/>
          <w:left w:val="nil"/>
          <w:bottom w:val="nil"/>
          <w:right w:val="nil"/>
          <w:between w:val="nil"/>
        </w:pBdr>
        <w:ind w:right="-2"/>
        <w:contextualSpacing/>
        <w:jc w:val="both"/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Als Vertreter/innen der europäischen Transportarbeiter/innen fordern wir die Schaffung von 250.000 neuen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menschenwürdigen Arbeitsplätzen in der nächsten Legislaturperiode der EU-Institutionen (2019-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2024).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Gleichzeitig müssen die Stellen, die aufgrund von Digitalisierung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o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der Automatisierung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zu verschwinden drohen, durch Fortbildung bzw. Umschulung gesichert werden (s. Punkt 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7). </w:t>
      </w:r>
      <w:r w:rsidR="005E75CE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Diese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 Zahl repräsentiert etwa zwei Prozent der aktuellen Belegschaft im T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ransport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wesen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Der Fok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us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sollte nicht nur auf der Anzahl der Arbeitsplätze, sondern auch auf deren Qualität liegen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Es muss sich dabei um unbefristete Vollzeit-Stellen mit menschenwürdigen Löhnen und Arbeitsbedingungen handeln</w:t>
      </w:r>
      <w:r w:rsidR="00C00C88" w:rsidRPr="0056269E"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  <w:t>.</w:t>
      </w:r>
    </w:p>
    <w:p w14:paraId="0D5A8B08" w14:textId="77777777" w:rsidR="00C00C88" w:rsidRPr="0056269E" w:rsidRDefault="00C00C88" w:rsidP="00C00C88">
      <w:pPr>
        <w:pBdr>
          <w:top w:val="nil"/>
          <w:left w:val="nil"/>
          <w:bottom w:val="nil"/>
          <w:right w:val="nil"/>
          <w:between w:val="nil"/>
        </w:pBdr>
        <w:ind w:right="-2"/>
        <w:contextualSpacing/>
        <w:jc w:val="both"/>
        <w:rPr>
          <w:rFonts w:ascii="Arial Narrow" w:eastAsia="Lato" w:hAnsi="Arial Narrow" w:cs="Arial"/>
          <w:color w:val="000000"/>
          <w:sz w:val="24"/>
          <w:szCs w:val="24"/>
          <w:lang w:val="de-DE" w:eastAsia="fr-FR"/>
        </w:rPr>
      </w:pPr>
    </w:p>
    <w:p w14:paraId="4C352472" w14:textId="30A01190" w:rsidR="00C00C88" w:rsidRPr="0056269E" w:rsidRDefault="001B4FFD" w:rsidP="00C00C8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Europäische T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ransport</w:t>
      </w: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arbeiter/innen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verdienen eine Lohnerhöhung</w:t>
      </w:r>
    </w:p>
    <w:p w14:paraId="7D0C1C87" w14:textId="77777777" w:rsidR="00C00C88" w:rsidRPr="0056269E" w:rsidRDefault="00C00C88" w:rsidP="00C00C8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568F25D3" w14:textId="1F254C8F" w:rsidR="00C00C88" w:rsidRPr="0056269E" w:rsidRDefault="006B154F" w:rsidP="00C00C88">
      <w:pPr>
        <w:jc w:val="both"/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</w:pP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Nahezu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 10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 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% 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der Beschäftigten in den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 28 EU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-Mitgliedstaaten lebten 2015 in drohender Armut, und ihr Anteil nahm zu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. Transport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beschäftigte sind aufgrund der mobilen Natur ihrer Arbeit sowie der Gefahr von Sozialdumping anfällig,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u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ihre Löhne stagnieren bzw. sind gar rückläufig</w:t>
      </w:r>
      <w:r w:rsidR="00C00C88" w:rsidRPr="0056269E">
        <w:rPr>
          <w:rFonts w:ascii="Arial Narrow" w:eastAsia="Times New Roman" w:hAnsi="Arial Narrow" w:cs="Arial"/>
          <w:color w:val="333333"/>
          <w:sz w:val="24"/>
          <w:szCs w:val="24"/>
          <w:shd w:val="clear" w:color="auto" w:fill="FEFEFE"/>
          <w:lang w:val="de-DE" w:eastAsia="fr-FR"/>
        </w:rPr>
        <w:t>.</w:t>
      </w:r>
    </w:p>
    <w:p w14:paraId="53F1B6C3" w14:textId="0B0F0B3D" w:rsidR="00C00C88" w:rsidRPr="0056269E" w:rsidRDefault="00F5391A" w:rsidP="00C00C88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Eine Lohnerhöhung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w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äre gut für die Wirtschaft, fü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r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Unternehmen, fü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r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Wachstum, fü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r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Arbeitsplätze und Beschäftigte</w:t>
      </w:r>
      <w:r w:rsidR="00E771BA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 Europa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="00E771BA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braucht eine stärkere wirtschaftliche Nachfrage, um das Wachstum anzukurbeln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="00E771BA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das gilt auch für mehr Investitionen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="00E771BA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Mit mehr Geld in der Tasche werden die Beschäftigten Güter und Dienstleistungen kaufen, was Unternehmen einen Schub verleihen und Wachstum sowie Arbeitsplätze schaffen wird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61A84DB2" w14:textId="692E55D4" w:rsidR="00C00C88" w:rsidRPr="0056269E" w:rsidRDefault="002E321C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Daher unterstützen wir voll und ganz die EGB-Kampagne für eine Lohnerhöhung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fordern eine solche für alle europäischen Transportarbeiter/innen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4802A5DB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18ECAE91" w14:textId="77777777" w:rsidR="0056269E" w:rsidRDefault="0056269E" w:rsidP="0056269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4AF1A01B" w14:textId="77777777" w:rsidR="0056269E" w:rsidRDefault="0056269E" w:rsidP="0056269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329804D3" w14:textId="77777777" w:rsidR="0056269E" w:rsidRDefault="0056269E" w:rsidP="0056269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380CEF87" w14:textId="77777777" w:rsidR="00CF4345" w:rsidRDefault="00CF4345" w:rsidP="0056269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6B046172" w14:textId="76D8AEBD" w:rsidR="00C00C88" w:rsidRPr="0056269E" w:rsidRDefault="002E321C" w:rsidP="00C00C8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Europäische Säule der sozialen Rechte muss verbindlich werden</w:t>
      </w:r>
    </w:p>
    <w:p w14:paraId="6929C16C" w14:textId="77777777" w:rsidR="00C00C88" w:rsidRPr="0056269E" w:rsidRDefault="00C00C88" w:rsidP="00C00C8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0CB06F90" w14:textId="270B05A1" w:rsidR="00C00C88" w:rsidRPr="0056269E" w:rsidRDefault="002E321C" w:rsidP="00C00C88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Im Laufe der letzten Mandatsdauer hat die Europäische Kommission in einer Reihe von Bereichen verbindliche Maßnahmen getroffen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Allerdings ist die Soz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ial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gesetzgebung dabei ins Hintertreffen geraten,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 meisten Initiativen sind politischer Natur.</w:t>
      </w:r>
    </w:p>
    <w:p w14:paraId="146CC289" w14:textId="06CB492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</w:t>
      </w:r>
      <w:r w:rsidR="002E321C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l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 E</w:t>
      </w:r>
      <w:r w:rsidR="002E321C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TF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="002E321C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fordern wir, dass die Europäische Säule der sozialen Rechte verbindlich und anhand durch</w:t>
      </w:r>
      <w:r w:rsidR="005E75CE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setzbarer gesetzgeberischer Maß</w:t>
      </w:r>
      <w:r w:rsidR="002E321C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n</w:t>
      </w:r>
      <w:r w:rsidR="005E75CE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</w:t>
      </w:r>
      <w:r w:rsidR="002E321C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hmen durchsetzbar wird. Dazu gehören auch ordnungsgemäße Sanktionen für nicht konformes Verhalten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04304275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098837EC" w14:textId="47E7D56D" w:rsidR="00C00C88" w:rsidRPr="0056269E" w:rsidRDefault="002E321C" w:rsidP="00C00C8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 xml:space="preserve">Schaffung eines </w:t>
      </w:r>
      <w:r w:rsidR="002A7FC0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„Soz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ial</w:t>
      </w:r>
      <w:r w:rsidR="002A7FC0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en Europol“</w:t>
      </w:r>
    </w:p>
    <w:p w14:paraId="290F0EE0" w14:textId="77777777" w:rsidR="00C00C88" w:rsidRPr="0056269E" w:rsidRDefault="00C00C88" w:rsidP="00C00C8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363A2749" w14:textId="6321D04F" w:rsidR="00C00C88" w:rsidRPr="0056269E" w:rsidRDefault="002A7FC0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Sowohl auf EU-Ebene als auch in einigen individuellen Mitgliedstaaten hat die Sozialgesetzgebung ein vertretbares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Niveau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–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allerdings wird sie nicht ordnungsgemäß durchgesetzt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Einige Länder betrachten die Missachtung des sozialen Besitzstands der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EU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als Wettbewerbsvorteil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="005147BA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zuletzt unterbreitete Vorschlag zur Schaffung der Europäischen Arbeitsbehörde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(ELA)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ist sicherlich ein Schritt in die richtige Richtung, </w:t>
      </w:r>
      <w:r w:rsidR="00A71889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jedoch besitzt das neue Organ keine ausreichenden Befugnisse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17C5A314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169057B3" w14:textId="5DC05D97" w:rsidR="00C00C88" w:rsidRPr="0056269E" w:rsidRDefault="00A71889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ETF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fordert, dass die Europäische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Arbeitsbehörde Labour mit ordnungsgemäßen Durchsetzungsinstrumenten ausgestattet wird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bei Konflikten sowohl auf der europäischen als auch auf der nationalen Ebene aktiv werden kann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um die ordnungsgemäße Umsetzung der europäischen Sozialgesetzgebung sicherzustellen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34284187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36823D5B" w14:textId="401C0187" w:rsidR="00C00C88" w:rsidRPr="0056269E" w:rsidRDefault="00A71889" w:rsidP="00C00C8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Öffentlicher Transport fü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r all</w:t>
      </w: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e europäischen Städte</w:t>
      </w:r>
    </w:p>
    <w:p w14:paraId="2A97682F" w14:textId="77777777" w:rsidR="00C00C88" w:rsidRPr="0056269E" w:rsidRDefault="00C00C88" w:rsidP="00C00C8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54EC437B" w14:textId="10AFBD9A" w:rsidR="00C00C88" w:rsidRPr="0056269E" w:rsidRDefault="00A71889" w:rsidP="00C00C88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 öffentliche Verkehr geht alle etwas an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Es handelt sich um einen integralen und grundlegenden Bestandteil der modernen Welt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Anstelle von Privatisierung und Kosten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optimi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erung sollten die europäischen Städte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an einem nachhaltigen Transport arbeiten, der für alle zugänglich und erschwinglich ist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339E3869" w14:textId="3978C8DC" w:rsidR="00C00C88" w:rsidRPr="0056269E" w:rsidRDefault="00A71889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ETF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steht voll und ganz hinter der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ITF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-Kampagne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#OurPublicTransport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ruft die EU-Institutionen auf,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einen Rahmen für die Entwicklung nachhaltiger öffentlicher Transportsysteme zu schaffen, die allen Bürgern/innen zuverlässige Dienstleistungen zu einem akzeptablen Preis anbieten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75CD3037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607F48CD" w14:textId="5C3E33A1" w:rsidR="00C00C88" w:rsidRPr="0056269E" w:rsidRDefault="00A71889" w:rsidP="00C00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Schluss mit den Angriffen auf die individuellen und kollektiven Rechte der Arbeitnehmer/innen</w:t>
      </w:r>
    </w:p>
    <w:p w14:paraId="0E18D092" w14:textId="77777777" w:rsidR="00C00C88" w:rsidRPr="0056269E" w:rsidRDefault="00C00C88" w:rsidP="00C00C88">
      <w:pPr>
        <w:contextualSpacing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69061A53" w14:textId="47157059" w:rsidR="00C00C88" w:rsidRPr="0056269E" w:rsidRDefault="00A71889" w:rsidP="00C00C88">
      <w:pPr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 Vereinsfreiheit zählt zu den durch die EU-Grundrechte-Charta zugesicherten Grundrechten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Dennoch genießen wirtschaftliche Freiheiten oft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Vorrang gegenüber diesen Rechten,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zuletzt hat die Europäische Ko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mmission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einen Frontalangriff auf die Rechte der Fluglotsen gestartet, indem sie einen Mindestdienst befürwortet und die Mitgliedstaaten ermutigt hat,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das legitimierte Streikrecht zu umgehen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2A2CBF37" w14:textId="77777777" w:rsidR="00C00C88" w:rsidRPr="0056269E" w:rsidRDefault="00C00C88" w:rsidP="00C00C88">
      <w:pPr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11B06B63" w14:textId="66F2927A" w:rsidR="00C00C88" w:rsidRPr="0056269E" w:rsidRDefault="00A71889" w:rsidP="00C00C88">
      <w:pPr>
        <w:spacing w:after="0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Die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ETF </w:t>
      </w:r>
      <w:r w:rsidR="0046742B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fordert ein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Ende der </w:t>
      </w:r>
      <w:r w:rsidR="001B7C99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Strafverfolgung und Kriminalisierung der Gewerkschaftsaktivitäten, der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Angriffe auf die individuellen und kollektiven Arbeitnehmerrechte und ruft die EU-Institutionen auf,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sich aktiv für deren Unterstützung einzusetzen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4E697832" w14:textId="77777777" w:rsidR="00C00C88" w:rsidRPr="0056269E" w:rsidRDefault="00C00C88" w:rsidP="00C00C88">
      <w:pPr>
        <w:spacing w:after="0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032FFD6B" w14:textId="77777777" w:rsidR="0056269E" w:rsidRDefault="0056269E" w:rsidP="0056269E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12579749" w14:textId="77777777" w:rsidR="0056269E" w:rsidRDefault="0056269E" w:rsidP="0056269E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5D7FCF60" w14:textId="77777777" w:rsidR="00CF4345" w:rsidRDefault="00CF4345" w:rsidP="0056269E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0B438333" w14:textId="77777777" w:rsidR="00CF4345" w:rsidRPr="0056269E" w:rsidRDefault="00CF4345" w:rsidP="0056269E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7A4127EE" w14:textId="678D742A" w:rsidR="00C00C88" w:rsidRPr="0056269E" w:rsidRDefault="0056269E" w:rsidP="00C00C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S</w:t>
      </w:r>
      <w:r w:rsidR="0046742B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chluss mit der geschlechterbasierten Gewalt gegen Transportbeschäftigte</w:t>
      </w:r>
    </w:p>
    <w:p w14:paraId="331BBF03" w14:textId="77777777" w:rsidR="00C00C88" w:rsidRPr="0056269E" w:rsidRDefault="00C00C88" w:rsidP="00C00C88">
      <w:pPr>
        <w:pStyle w:val="ListParagraph"/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</w:p>
    <w:p w14:paraId="1CA6A1E6" w14:textId="2341542C" w:rsidR="00C00C88" w:rsidRPr="0056269E" w:rsidRDefault="007003C5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 Transportsek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tor is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weiterhin eine Männerdomäne,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nur rund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20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Prozent aller Beschäftigten sind Frauen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Aus einer unlängst durchgeführten ETF-Umfrage</w:t>
      </w:r>
      <w:r w:rsidR="00C00C88" w:rsidRPr="0056269E">
        <w:rPr>
          <w:rStyle w:val="FootnoteReference"/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footnoteReference w:id="2"/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geht hervor, dass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63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Prozent der weiblichen Transportbeschäftigten in der jüngeren Vergangenheit mindestens einen gewalttätigen Übergriff bei der Arbeit erlebt haben,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25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Prozent glauben, dass Gewalt gegen Arbeitnehmerinnen im Transportwesen regelmäßig vorkommt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Daher drängt die ETF die EU-Institutionen und di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 EU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-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M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itgliedstaaten zur Unterstützung der Einführung einer neuen IAO-K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onvention,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einhergehend mit einer Empfehlung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bezüglich Gewalt und Belästigung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in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 Welt der Arbeit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mit einem starken Fokus auf der geschlechterbasierten Gewalt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sowie zur Übernahme einer wichtigen/aktiven R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ol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l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e in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den Verhandlungen auf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der 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International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Arbeitskonferenz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.</w:t>
      </w:r>
    </w:p>
    <w:p w14:paraId="1E9488F6" w14:textId="77777777" w:rsidR="00C00C88" w:rsidRPr="0056269E" w:rsidRDefault="00C00C88" w:rsidP="00C00C88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7F369857" w14:textId="2BF47682" w:rsidR="00C00C88" w:rsidRPr="0056269E" w:rsidRDefault="005147BA" w:rsidP="00C00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Soz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ial</w:t>
      </w: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e D</w:t>
      </w:r>
      <w:r w:rsidR="00C00C88"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 xml:space="preserve">imension </w:t>
      </w:r>
      <w:r w:rsidRPr="0056269E">
        <w:rPr>
          <w:rFonts w:ascii="Arial Narrow" w:eastAsia="Times New Roman" w:hAnsi="Arial Narrow" w:cs="Arial"/>
          <w:b/>
          <w:color w:val="000000"/>
          <w:sz w:val="24"/>
          <w:szCs w:val="24"/>
          <w:lang w:val="de-DE" w:eastAsia="fr-FR"/>
        </w:rPr>
        <w:t>der Automatisierung und Digitalisierung</w:t>
      </w:r>
    </w:p>
    <w:p w14:paraId="6C7F4AA6" w14:textId="77777777" w:rsidR="00C00C88" w:rsidRPr="0056269E" w:rsidRDefault="00C00C88" w:rsidP="00C00C88">
      <w:pPr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</w:p>
    <w:p w14:paraId="6A5FA4AF" w14:textId="36EDEDE3" w:rsidR="00C00C88" w:rsidRPr="0056269E" w:rsidRDefault="005147BA" w:rsidP="00C00C88">
      <w:pPr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Automatisierung und Digitalisierung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zählen heute zu den größten Herausforderungen nich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t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nur für die europäischen Transportbeschäftigten, sondern für die Gesellschaft insgesamt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Als ETF sind wir zwar nicht gegen die damit einhergehenden Veränderungen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,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jedoch betonen wir, dass </w:t>
      </w:r>
      <w:r w:rsidR="00805DD3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sie auf sozialverträgliche Weise erfolgen müssen, u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nd </w:t>
      </w:r>
      <w:r w:rsidR="00805DD3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es geht nicht an, dass die Beschäftigten im Hinblick auf höhere Profite für die Unternehmen die Zeche zahlen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. </w:t>
      </w:r>
      <w:r w:rsidR="00805DD3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Das bedeutet konkret</w:t>
      </w:r>
      <w:r w:rsidR="00C00C88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:</w:t>
      </w:r>
    </w:p>
    <w:p w14:paraId="723DBA71" w14:textId="202DBCEC" w:rsidR="00C00C88" w:rsidRPr="0056269E" w:rsidRDefault="00805DD3" w:rsidP="00C00C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Der Faktor Mensch muss weiterhin im Mittelpunkt aller Veränderungen stehen;</w:t>
      </w:r>
    </w:p>
    <w:p w14:paraId="45267E55" w14:textId="3CED6469" w:rsidR="00C00C88" w:rsidRPr="0056269E" w:rsidRDefault="00805DD3" w:rsidP="00C00C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Für alle betroffenen Beschäftigten müssen Arbeitsplatzgarantien </w:t>
      </w:r>
      <w:r w:rsidR="004B6D81"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 xml:space="preserve">und ein fairer Übergang </w:t>
      </w: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bereitgestellt werden;</w:t>
      </w:r>
    </w:p>
    <w:p w14:paraId="70C95154" w14:textId="1C46380A" w:rsidR="00C00C88" w:rsidRPr="0056269E" w:rsidRDefault="00805DD3" w:rsidP="00C00C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Veränderungen müssen zwischen Arbeitgebern und Gewerkschaften ausgehandelt werden;</w:t>
      </w:r>
    </w:p>
    <w:p w14:paraId="7641E42C" w14:textId="1B01B3FF" w:rsidR="00C00C88" w:rsidRPr="0056269E" w:rsidRDefault="00805DD3" w:rsidP="00C00C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Fortbildung und Umschulung müssen für Beschäftigte bereitgestellt werden, deren Stellen im Zuge von Automatisierung bzw. Digitalisierung verschwinden werden;</w:t>
      </w:r>
    </w:p>
    <w:p w14:paraId="58DB521C" w14:textId="60F61A3F" w:rsidR="00C00C88" w:rsidRPr="0056269E" w:rsidRDefault="00805DD3" w:rsidP="00C00C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</w:pPr>
      <w:r w:rsidRPr="0056269E">
        <w:rPr>
          <w:rFonts w:ascii="Arial Narrow" w:eastAsia="Times New Roman" w:hAnsi="Arial Narrow" w:cs="Arial"/>
          <w:color w:val="000000"/>
          <w:sz w:val="24"/>
          <w:szCs w:val="24"/>
          <w:lang w:val="de-DE" w:eastAsia="fr-FR"/>
        </w:rPr>
        <w:t>Bei Bedarf müssen zweckgebundene Steuern zur Finanzierung des Umgangs mit den sozialen Auswirkungen dieser Veränderungen eingeführt werden.</w:t>
      </w:r>
    </w:p>
    <w:p w14:paraId="70E9EC30" w14:textId="77777777" w:rsidR="00C00C88" w:rsidRDefault="00C00C88" w:rsidP="00C00C88">
      <w:pPr>
        <w:contextualSpacing/>
        <w:jc w:val="both"/>
        <w:rPr>
          <w:rFonts w:ascii="Arial" w:eastAsia="Times New Roman" w:hAnsi="Arial" w:cs="Arial"/>
          <w:color w:val="000000"/>
          <w:lang w:val="de-DE" w:eastAsia="fr-FR"/>
        </w:rPr>
      </w:pPr>
    </w:p>
    <w:p w14:paraId="27AED1F4" w14:textId="77777777" w:rsidR="00CF4345" w:rsidRDefault="00CF4345" w:rsidP="00C00C88">
      <w:pPr>
        <w:contextualSpacing/>
        <w:jc w:val="both"/>
        <w:rPr>
          <w:rFonts w:ascii="Arial" w:eastAsia="Times New Roman" w:hAnsi="Arial" w:cs="Arial"/>
          <w:color w:val="000000"/>
          <w:lang w:val="de-DE" w:eastAsia="fr-FR"/>
        </w:rPr>
      </w:pPr>
    </w:p>
    <w:p w14:paraId="3F1BD6E5" w14:textId="7C5D706C" w:rsidR="00CF4345" w:rsidRPr="00CF4345" w:rsidRDefault="00CF4345" w:rsidP="00CF4345">
      <w:pPr>
        <w:spacing w:after="0" w:line="240" w:lineRule="auto"/>
        <w:ind w:right="-851"/>
        <w:contextualSpacing/>
        <w:jc w:val="right"/>
        <w:rPr>
          <w:rFonts w:ascii="Arial Narrow" w:eastAsia="Times New Roman" w:hAnsi="Arial Narrow" w:cs="Arial"/>
          <w:b/>
          <w:color w:val="66CCFF"/>
          <w:sz w:val="24"/>
          <w:szCs w:val="24"/>
          <w:lang w:val="de-DE"/>
        </w:rPr>
      </w:pPr>
      <w:hyperlink r:id="rId9" w:history="1">
        <w:r w:rsidRPr="00CF4345">
          <w:rPr>
            <w:rStyle w:val="Hyperlink"/>
            <w:rFonts w:ascii="Arial Narrow" w:eastAsia="Times New Roman" w:hAnsi="Arial Narrow" w:cs="Arial"/>
            <w:b/>
            <w:color w:val="66CCFF"/>
            <w:sz w:val="24"/>
            <w:szCs w:val="24"/>
            <w:lang w:val="de-DE"/>
          </w:rPr>
          <w:t>fairtransporteurope.eu</w:t>
        </w:r>
      </w:hyperlink>
    </w:p>
    <w:p w14:paraId="2A0FE00A" w14:textId="6F53C946" w:rsidR="00CF4345" w:rsidRPr="00CF4345" w:rsidRDefault="00CF4345" w:rsidP="00CF4345">
      <w:pPr>
        <w:spacing w:after="0" w:line="240" w:lineRule="auto"/>
        <w:ind w:right="-851"/>
        <w:contextualSpacing/>
        <w:jc w:val="right"/>
        <w:rPr>
          <w:rFonts w:ascii="Arial Narrow" w:eastAsia="Times New Roman" w:hAnsi="Arial Narrow" w:cs="Arial"/>
          <w:b/>
          <w:color w:val="66CCFF"/>
          <w:sz w:val="24"/>
          <w:szCs w:val="24"/>
          <w:lang w:val="de-DE"/>
        </w:rPr>
      </w:pPr>
      <w:hyperlink r:id="rId10" w:history="1">
        <w:r w:rsidRPr="00CF4345">
          <w:rPr>
            <w:rStyle w:val="Hyperlink"/>
            <w:rFonts w:ascii="Arial Narrow" w:eastAsia="Times New Roman" w:hAnsi="Arial Narrow" w:cs="Arial"/>
            <w:b/>
            <w:color w:val="66CCFF"/>
            <w:sz w:val="24"/>
            <w:szCs w:val="24"/>
            <w:lang w:val="de-DE"/>
          </w:rPr>
          <w:t>facebook.com/FairTransportEurope</w:t>
        </w:r>
      </w:hyperlink>
    </w:p>
    <w:p w14:paraId="3E12B919" w14:textId="77777777" w:rsidR="00CF4345" w:rsidRPr="001E03B2" w:rsidRDefault="00CF4345" w:rsidP="00CF4345">
      <w:pPr>
        <w:tabs>
          <w:tab w:val="left" w:pos="2029"/>
        </w:tabs>
        <w:spacing w:after="0" w:line="240" w:lineRule="auto"/>
        <w:ind w:right="-851"/>
        <w:contextualSpacing/>
        <w:jc w:val="right"/>
        <w:rPr>
          <w:rFonts w:ascii="Arial Narrow" w:eastAsia="Times New Roman" w:hAnsi="Arial Narrow" w:cs="Arial"/>
          <w:b/>
          <w:color w:val="66CCFF"/>
          <w:sz w:val="24"/>
          <w:szCs w:val="24"/>
          <w:lang w:val="fr-FR"/>
        </w:rPr>
      </w:pPr>
      <w:r w:rsidRPr="001E03B2">
        <w:rPr>
          <w:rFonts w:ascii="Arial Narrow" w:eastAsia="Times New Roman" w:hAnsi="Arial Narrow" w:cs="Arial"/>
          <w:b/>
          <w:color w:val="66CCFF"/>
          <w:sz w:val="24"/>
          <w:szCs w:val="24"/>
          <w:lang w:val="fr-BE"/>
        </w:rPr>
        <w:t>#</w:t>
      </w:r>
      <w:proofErr w:type="spellStart"/>
      <w:r w:rsidRPr="001E03B2">
        <w:rPr>
          <w:rFonts w:ascii="Arial Narrow" w:eastAsia="Times New Roman" w:hAnsi="Arial Narrow" w:cs="Arial"/>
          <w:b/>
          <w:color w:val="66CCFF"/>
          <w:sz w:val="24"/>
          <w:szCs w:val="24"/>
          <w:lang w:val="fr-BE"/>
        </w:rPr>
        <w:t>FairTransport</w:t>
      </w:r>
      <w:proofErr w:type="spellEnd"/>
    </w:p>
    <w:p w14:paraId="634DEA21" w14:textId="77777777" w:rsidR="00CF4345" w:rsidRPr="002A7FC0" w:rsidRDefault="00CF4345" w:rsidP="00C00C88">
      <w:pPr>
        <w:contextualSpacing/>
        <w:jc w:val="both"/>
        <w:rPr>
          <w:rFonts w:ascii="Arial" w:eastAsia="Times New Roman" w:hAnsi="Arial" w:cs="Arial"/>
          <w:color w:val="000000"/>
          <w:lang w:val="de-DE" w:eastAsia="fr-FR"/>
        </w:rPr>
      </w:pPr>
    </w:p>
    <w:p w14:paraId="5916DC7B" w14:textId="77777777" w:rsidR="00C00C88" w:rsidRPr="002A7FC0" w:rsidRDefault="00C00C88" w:rsidP="00C00C88">
      <w:pPr>
        <w:rPr>
          <w:lang w:val="de-DE"/>
        </w:rPr>
      </w:pPr>
    </w:p>
    <w:p w14:paraId="5D153C04" w14:textId="77777777" w:rsidR="00C00C88" w:rsidRPr="002A7FC0" w:rsidRDefault="00C00C88" w:rsidP="00C00C88">
      <w:pPr>
        <w:rPr>
          <w:lang w:val="de-DE"/>
        </w:rPr>
      </w:pPr>
    </w:p>
    <w:p w14:paraId="3E7ED21D" w14:textId="77777777" w:rsidR="00C00C88" w:rsidRPr="002A7FC0" w:rsidRDefault="00C00C88" w:rsidP="001D0F5F">
      <w:pPr>
        <w:spacing w:after="0"/>
        <w:jc w:val="both"/>
        <w:rPr>
          <w:rFonts w:ascii="Arial Narrow" w:hAnsi="Arial Narrow"/>
          <w:lang w:val="de-DE"/>
        </w:rPr>
      </w:pPr>
    </w:p>
    <w:sectPr w:rsidR="00C00C88" w:rsidRPr="002A7FC0" w:rsidSect="00C110DF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C4449" w14:textId="77777777" w:rsidR="005147BA" w:rsidRDefault="005147BA" w:rsidP="0038582C">
      <w:pPr>
        <w:spacing w:after="0" w:line="240" w:lineRule="auto"/>
      </w:pPr>
      <w:r>
        <w:separator/>
      </w:r>
    </w:p>
  </w:endnote>
  <w:endnote w:type="continuationSeparator" w:id="0">
    <w:p w14:paraId="59487E2D" w14:textId="77777777" w:rsidR="005147BA" w:rsidRDefault="005147BA" w:rsidP="0038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Times New Roman"/>
    <w:charset w:val="00"/>
    <w:family w:val="auto"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5CE7" w14:textId="77777777" w:rsidR="005147BA" w:rsidRDefault="005147BA" w:rsidP="0038582C">
      <w:pPr>
        <w:spacing w:after="0" w:line="240" w:lineRule="auto"/>
      </w:pPr>
      <w:r>
        <w:separator/>
      </w:r>
    </w:p>
  </w:footnote>
  <w:footnote w:type="continuationSeparator" w:id="0">
    <w:p w14:paraId="370A55EB" w14:textId="77777777" w:rsidR="005147BA" w:rsidRDefault="005147BA" w:rsidP="0038582C">
      <w:pPr>
        <w:spacing w:after="0" w:line="240" w:lineRule="auto"/>
      </w:pPr>
      <w:r>
        <w:continuationSeparator/>
      </w:r>
    </w:p>
  </w:footnote>
  <w:footnote w:id="1">
    <w:p w14:paraId="68FA74C9" w14:textId="6A6BF994" w:rsidR="005147BA" w:rsidRPr="00606A9C" w:rsidRDefault="005147BA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606A9C">
        <w:rPr>
          <w:lang w:val="nl-BE"/>
        </w:rPr>
        <w:t xml:space="preserve"> Die Europäische Transportarbeiter-Föderation ist eine paneuropäische Gewerkschaftsorganisation, welche die Interessen von über 5 Millionen Transportarbeitern/innen vertritt. Wir zählen mehr 200 Mitgliedsgewerkschaften in 41 Ländern.</w:t>
      </w:r>
    </w:p>
  </w:footnote>
  <w:footnote w:id="2">
    <w:p w14:paraId="20FF57F4" w14:textId="64AEF473" w:rsidR="0056269E" w:rsidRPr="0056269E" w:rsidRDefault="005147BA" w:rsidP="00C00C88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606A9C">
        <w:rPr>
          <w:lang w:val="nl-BE"/>
        </w:rPr>
        <w:t xml:space="preserve"> </w:t>
      </w:r>
      <w:hyperlink r:id="rId1" w:history="1">
        <w:r w:rsidR="0056269E" w:rsidRPr="00565FB5">
          <w:rPr>
            <w:rStyle w:val="Hyperlink"/>
            <w:lang w:val="nl-BE"/>
          </w:rPr>
          <w:t>https://www.etf-europe.org/violence-against-women-transport-workers-etf-study-reveals-the-facts/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2B92" w14:textId="676946FB" w:rsidR="0056269E" w:rsidRPr="001E03B2" w:rsidRDefault="00CF4345" w:rsidP="00CF4345">
    <w:pPr>
      <w:spacing w:after="0" w:line="240" w:lineRule="auto"/>
      <w:ind w:right="-851"/>
      <w:contextualSpacing/>
      <w:jc w:val="right"/>
      <w:rPr>
        <w:rFonts w:ascii="Arial Narrow" w:eastAsia="Times New Roman" w:hAnsi="Arial Narrow" w:cs="Arial"/>
        <w:b/>
        <w:color w:val="66CCFF"/>
        <w:sz w:val="24"/>
        <w:szCs w:val="24"/>
        <w:lang w:val="fr-FR"/>
      </w:rPr>
    </w:pPr>
    <w:r>
      <w:rPr>
        <w:rFonts w:ascii="Calibri" w:hAnsi="Calibri"/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55225FC6" wp14:editId="4372C02E">
          <wp:simplePos x="0" y="0"/>
          <wp:positionH relativeFrom="column">
            <wp:posOffset>5030981</wp:posOffset>
          </wp:positionH>
          <wp:positionV relativeFrom="paragraph">
            <wp:posOffset>-155443</wp:posOffset>
          </wp:positionV>
          <wp:extent cx="1263650" cy="128460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69E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21102701" wp14:editId="4CD4FE59">
          <wp:simplePos x="0" y="0"/>
          <wp:positionH relativeFrom="column">
            <wp:posOffset>-759460</wp:posOffset>
          </wp:positionH>
          <wp:positionV relativeFrom="paragraph">
            <wp:posOffset>-105879</wp:posOffset>
          </wp:positionV>
          <wp:extent cx="2686050" cy="775970"/>
          <wp:effectExtent l="0" t="0" r="0" b="5080"/>
          <wp:wrapSquare wrapText="bothSides"/>
          <wp:docPr id="23" name="Picture 2" descr="X:\COMMUNICATIONS\Logos\Logo ETF with t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COMMUNICATIONS\Logos\Logo ETF with t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269E">
      <w:tab/>
    </w:r>
    <w:r w:rsidR="0056269E">
      <w:tab/>
      <w:t xml:space="preserve"> </w:t>
    </w:r>
  </w:p>
  <w:p w14:paraId="28FB5AA5" w14:textId="33DCDC6C" w:rsidR="005147BA" w:rsidRDefault="00514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B94"/>
    <w:multiLevelType w:val="hybridMultilevel"/>
    <w:tmpl w:val="1F545B9E"/>
    <w:lvl w:ilvl="0" w:tplc="BAA4D18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1AF4"/>
    <w:multiLevelType w:val="hybridMultilevel"/>
    <w:tmpl w:val="8132EC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7476C"/>
    <w:multiLevelType w:val="hybridMultilevel"/>
    <w:tmpl w:val="6CEE7480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026ED7"/>
    <w:multiLevelType w:val="hybridMultilevel"/>
    <w:tmpl w:val="29EA6B9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2C"/>
    <w:rsid w:val="000B3330"/>
    <w:rsid w:val="00151A4E"/>
    <w:rsid w:val="001A140C"/>
    <w:rsid w:val="001B4FFD"/>
    <w:rsid w:val="001B7C99"/>
    <w:rsid w:val="001D0F5F"/>
    <w:rsid w:val="002738D5"/>
    <w:rsid w:val="002A7FC0"/>
    <w:rsid w:val="002E321C"/>
    <w:rsid w:val="00384FBF"/>
    <w:rsid w:val="0038582C"/>
    <w:rsid w:val="0046742B"/>
    <w:rsid w:val="004B6D81"/>
    <w:rsid w:val="004D0169"/>
    <w:rsid w:val="005147BA"/>
    <w:rsid w:val="0056269E"/>
    <w:rsid w:val="00564CED"/>
    <w:rsid w:val="005D4A56"/>
    <w:rsid w:val="005E75CE"/>
    <w:rsid w:val="005F309D"/>
    <w:rsid w:val="00606A9C"/>
    <w:rsid w:val="006936A4"/>
    <w:rsid w:val="006A0BCE"/>
    <w:rsid w:val="006B154F"/>
    <w:rsid w:val="007003C5"/>
    <w:rsid w:val="00757ECB"/>
    <w:rsid w:val="00805DD3"/>
    <w:rsid w:val="00832B01"/>
    <w:rsid w:val="008A4C90"/>
    <w:rsid w:val="008A6C2C"/>
    <w:rsid w:val="00954081"/>
    <w:rsid w:val="0098145E"/>
    <w:rsid w:val="009E0300"/>
    <w:rsid w:val="00A34568"/>
    <w:rsid w:val="00A71889"/>
    <w:rsid w:val="00B532AC"/>
    <w:rsid w:val="00B65475"/>
    <w:rsid w:val="00C00C88"/>
    <w:rsid w:val="00C10074"/>
    <w:rsid w:val="00C110DF"/>
    <w:rsid w:val="00C85CBD"/>
    <w:rsid w:val="00CB2837"/>
    <w:rsid w:val="00CF4345"/>
    <w:rsid w:val="00D0548C"/>
    <w:rsid w:val="00DB3585"/>
    <w:rsid w:val="00E771BA"/>
    <w:rsid w:val="00F5391A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9470CB7"/>
  <w15:docId w15:val="{5D463AE2-6307-4CE9-8D71-3ED8DCE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2C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8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2C"/>
    <w:rPr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F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F5F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1D0F5F"/>
    <w:rPr>
      <w:vertAlign w:val="superscript"/>
    </w:rPr>
  </w:style>
  <w:style w:type="character" w:styleId="Hyperlink">
    <w:name w:val="Hyperlink"/>
    <w:basedOn w:val="DefaultParagraphFont"/>
    <w:uiPriority w:val="99"/>
    <w:rsid w:val="00C00C8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00C88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0C8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75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irTransport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transporteurope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f-europe.org/violence-against-women-transport-workers-etf-study-reveals-the-fa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0B2-6D75-4B82-8B11-125F75AE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1491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MCH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Alfonso</dc:creator>
  <cp:lastModifiedBy>Bryn Watkins</cp:lastModifiedBy>
  <cp:revision>6</cp:revision>
  <cp:lastPrinted>2019-01-17T15:25:00Z</cp:lastPrinted>
  <dcterms:created xsi:type="dcterms:W3CDTF">2019-01-17T14:41:00Z</dcterms:created>
  <dcterms:modified xsi:type="dcterms:W3CDTF">2019-01-17T15:28:00Z</dcterms:modified>
</cp:coreProperties>
</file>