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E0" w:rsidRDefault="00E14EE0" w:rsidP="00E14EE0">
      <w:pPr>
        <w:jc w:val="both"/>
      </w:pPr>
      <w:bookmarkStart w:id="0" w:name="_GoBack"/>
      <w:bookmarkEnd w:id="0"/>
    </w:p>
    <w:p w:rsidR="001F7457" w:rsidRPr="00E14EE0" w:rsidRDefault="001F7457" w:rsidP="00E14EE0">
      <w:pPr>
        <w:jc w:val="both"/>
      </w:pPr>
    </w:p>
    <w:p w:rsidR="007E6986" w:rsidRDefault="007E6986" w:rsidP="007E6986">
      <w:pPr>
        <w:jc w:val="center"/>
        <w:rPr>
          <w:rFonts w:ascii="Verdana" w:hAnsi="Verdana"/>
          <w:b/>
          <w:bCs/>
          <w:iCs/>
          <w:sz w:val="24"/>
          <w:szCs w:val="24"/>
          <w:u w:val="single"/>
        </w:rPr>
      </w:pPr>
      <w:r w:rsidRPr="007E6986">
        <w:rPr>
          <w:rFonts w:ascii="Verdana" w:hAnsi="Verdana"/>
          <w:b/>
          <w:bCs/>
          <w:iCs/>
          <w:sz w:val="24"/>
          <w:szCs w:val="24"/>
          <w:u w:val="single"/>
        </w:rPr>
        <w:t>La C</w:t>
      </w:r>
      <w:r>
        <w:rPr>
          <w:rFonts w:ascii="Verdana" w:hAnsi="Verdana"/>
          <w:b/>
          <w:bCs/>
          <w:iCs/>
          <w:sz w:val="24"/>
          <w:szCs w:val="24"/>
          <w:u w:val="single"/>
        </w:rPr>
        <w:t>omisión Europea ha propuesto</w:t>
      </w:r>
      <w:r w:rsidRPr="007E6986">
        <w:rPr>
          <w:rFonts w:ascii="Verdana" w:hAnsi="Verdana"/>
          <w:b/>
          <w:bCs/>
          <w:iCs/>
          <w:sz w:val="24"/>
          <w:szCs w:val="24"/>
          <w:u w:val="single"/>
        </w:rPr>
        <w:t xml:space="preserve"> un </w:t>
      </w:r>
      <w:r>
        <w:rPr>
          <w:rFonts w:ascii="Verdana" w:hAnsi="Verdana"/>
          <w:b/>
          <w:bCs/>
          <w:iCs/>
          <w:sz w:val="24"/>
          <w:szCs w:val="24"/>
          <w:u w:val="single"/>
        </w:rPr>
        <w:t xml:space="preserve">segundo </w:t>
      </w:r>
      <w:r w:rsidRPr="007E6986">
        <w:rPr>
          <w:rFonts w:ascii="Verdana" w:hAnsi="Verdana"/>
          <w:b/>
          <w:bCs/>
          <w:iCs/>
          <w:sz w:val="24"/>
          <w:szCs w:val="24"/>
          <w:u w:val="single"/>
        </w:rPr>
        <w:t>paquete de medidas para mitiga</w:t>
      </w:r>
      <w:r>
        <w:rPr>
          <w:rFonts w:ascii="Verdana" w:hAnsi="Verdana"/>
          <w:b/>
          <w:bCs/>
          <w:iCs/>
          <w:sz w:val="24"/>
          <w:szCs w:val="24"/>
          <w:u w:val="single"/>
        </w:rPr>
        <w:t>r los efectos del COVID-19 en los</w:t>
      </w:r>
      <w:r w:rsidRPr="007E6986">
        <w:rPr>
          <w:rFonts w:ascii="Verdana" w:hAnsi="Verdana"/>
          <w:b/>
          <w:bCs/>
          <w:iCs/>
          <w:sz w:val="24"/>
          <w:szCs w:val="24"/>
          <w:u w:val="single"/>
        </w:rPr>
        <w:t xml:space="preserve"> sector</w:t>
      </w:r>
      <w:r>
        <w:rPr>
          <w:rFonts w:ascii="Verdana" w:hAnsi="Verdana"/>
          <w:b/>
          <w:bCs/>
          <w:iCs/>
          <w:sz w:val="24"/>
          <w:szCs w:val="24"/>
          <w:u w:val="single"/>
        </w:rPr>
        <w:t>es</w:t>
      </w:r>
      <w:r w:rsidRPr="007E6986">
        <w:rPr>
          <w:rFonts w:ascii="Verdana" w:hAnsi="Verdana"/>
          <w:b/>
          <w:bCs/>
          <w:iCs/>
          <w:sz w:val="24"/>
          <w:szCs w:val="24"/>
          <w:u w:val="single"/>
        </w:rPr>
        <w:t xml:space="preserve"> de la pesca y la acuicultura</w:t>
      </w:r>
    </w:p>
    <w:p w:rsidR="007E6986" w:rsidRDefault="007E6986" w:rsidP="00E14EE0">
      <w:pPr>
        <w:jc w:val="both"/>
        <w:rPr>
          <w:rFonts w:ascii="Verdana" w:hAnsi="Verdana"/>
          <w:b/>
          <w:bCs/>
          <w:iCs/>
          <w:sz w:val="24"/>
          <w:szCs w:val="24"/>
          <w:u w:val="single"/>
        </w:rPr>
      </w:pPr>
    </w:p>
    <w:p w:rsidR="001F7457" w:rsidRDefault="001F7457" w:rsidP="00E14EE0">
      <w:pPr>
        <w:jc w:val="both"/>
        <w:rPr>
          <w:rFonts w:ascii="Verdana" w:hAnsi="Verdana"/>
          <w:b/>
          <w:bCs/>
          <w:iCs/>
          <w:sz w:val="24"/>
          <w:szCs w:val="24"/>
          <w:u w:val="single"/>
        </w:rPr>
      </w:pPr>
    </w:p>
    <w:p w:rsidR="007E6986" w:rsidRDefault="007E6986" w:rsidP="007E69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CCOO considera que el segundo paquete adoptado por la Comisión</w:t>
      </w:r>
      <w:r w:rsidR="00F04F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medidas para mitigar los efectos del COVID 19 van en </w:t>
      </w:r>
      <w:r w:rsidR="00185AB4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l</w:t>
      </w:r>
      <w:r w:rsidR="00185AB4">
        <w:rPr>
          <w:rFonts w:ascii="Verdana" w:hAnsi="Verdana"/>
          <w:sz w:val="24"/>
          <w:szCs w:val="24"/>
        </w:rPr>
        <w:t xml:space="preserve"> </w:t>
      </w:r>
      <w:r w:rsidR="003118CD">
        <w:rPr>
          <w:rFonts w:ascii="Verdana" w:hAnsi="Verdana"/>
          <w:sz w:val="24"/>
          <w:szCs w:val="24"/>
        </w:rPr>
        <w:t>buen</w:t>
      </w:r>
      <w:r w:rsidR="00185AB4">
        <w:rPr>
          <w:rFonts w:ascii="Verdana" w:hAnsi="Verdana"/>
          <w:sz w:val="24"/>
          <w:szCs w:val="24"/>
        </w:rPr>
        <w:t xml:space="preserve"> sentido común</w:t>
      </w:r>
      <w:r>
        <w:rPr>
          <w:rFonts w:ascii="Verdana" w:hAnsi="Verdana"/>
          <w:sz w:val="24"/>
          <w:szCs w:val="24"/>
        </w:rPr>
        <w:t xml:space="preserve"> </w:t>
      </w:r>
      <w:r w:rsidRPr="007E6986">
        <w:rPr>
          <w:rFonts w:ascii="Verdana" w:hAnsi="Verdana"/>
          <w:sz w:val="24"/>
          <w:szCs w:val="24"/>
        </w:rPr>
        <w:t xml:space="preserve">para asegurar la viabilidad </w:t>
      </w:r>
      <w:r>
        <w:rPr>
          <w:rFonts w:ascii="Verdana" w:hAnsi="Verdana"/>
          <w:sz w:val="24"/>
          <w:szCs w:val="24"/>
        </w:rPr>
        <w:t xml:space="preserve">de las empresas y del empleo </w:t>
      </w:r>
      <w:r w:rsidRPr="007E6986">
        <w:rPr>
          <w:rFonts w:ascii="Verdana" w:hAnsi="Verdana"/>
          <w:sz w:val="24"/>
          <w:szCs w:val="24"/>
        </w:rPr>
        <w:t>del sector pesquero</w:t>
      </w:r>
      <w:r>
        <w:rPr>
          <w:rFonts w:ascii="Verdana" w:hAnsi="Verdana"/>
          <w:sz w:val="24"/>
          <w:szCs w:val="24"/>
        </w:rPr>
        <w:t xml:space="preserve"> y acuícola. </w:t>
      </w:r>
    </w:p>
    <w:p w:rsidR="007E6986" w:rsidRDefault="007E6986" w:rsidP="007E6986">
      <w:pPr>
        <w:jc w:val="both"/>
        <w:rPr>
          <w:rFonts w:ascii="Verdana" w:hAnsi="Verdana"/>
          <w:sz w:val="24"/>
          <w:szCs w:val="24"/>
        </w:rPr>
      </w:pPr>
    </w:p>
    <w:p w:rsidR="00E57CE8" w:rsidRDefault="007E6986" w:rsidP="007E6986">
      <w:pPr>
        <w:jc w:val="both"/>
        <w:rPr>
          <w:rFonts w:ascii="Verdana" w:hAnsi="Verdana"/>
          <w:sz w:val="24"/>
          <w:szCs w:val="24"/>
        </w:rPr>
      </w:pPr>
      <w:r w:rsidRPr="007E6986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 xml:space="preserve">CCOO </w:t>
      </w:r>
      <w:r w:rsidRPr="007E6986">
        <w:rPr>
          <w:rFonts w:ascii="Verdana" w:hAnsi="Verdana"/>
          <w:sz w:val="24"/>
          <w:szCs w:val="24"/>
        </w:rPr>
        <w:t xml:space="preserve">celebra </w:t>
      </w:r>
      <w:r>
        <w:rPr>
          <w:rFonts w:ascii="Verdana" w:hAnsi="Verdana"/>
          <w:sz w:val="24"/>
          <w:szCs w:val="24"/>
        </w:rPr>
        <w:t xml:space="preserve">el trabajo y las iniciativas </w:t>
      </w:r>
      <w:r w:rsidR="00F23EA5">
        <w:rPr>
          <w:rFonts w:ascii="Verdana" w:hAnsi="Verdana"/>
          <w:sz w:val="24"/>
          <w:szCs w:val="24"/>
        </w:rPr>
        <w:t xml:space="preserve">sociales </w:t>
      </w:r>
      <w:r w:rsidR="00BB2367">
        <w:rPr>
          <w:rFonts w:ascii="Verdana" w:hAnsi="Verdana"/>
          <w:sz w:val="24"/>
          <w:szCs w:val="24"/>
        </w:rPr>
        <w:t xml:space="preserve">solicitadas por </w:t>
      </w:r>
      <w:r>
        <w:rPr>
          <w:rFonts w:ascii="Verdana" w:hAnsi="Verdana"/>
          <w:sz w:val="24"/>
          <w:szCs w:val="24"/>
        </w:rPr>
        <w:t xml:space="preserve">el gobierno de España consensuadas con otros estados miembros para hacer posible que </w:t>
      </w:r>
      <w:r w:rsidR="00BB2367">
        <w:rPr>
          <w:rFonts w:ascii="Verdana" w:hAnsi="Verdana"/>
          <w:sz w:val="24"/>
          <w:szCs w:val="24"/>
        </w:rPr>
        <w:t>las medidas propuestas</w:t>
      </w:r>
      <w:r w:rsidRPr="007E6986">
        <w:rPr>
          <w:rFonts w:ascii="Verdana" w:hAnsi="Verdana"/>
          <w:sz w:val="24"/>
          <w:szCs w:val="24"/>
        </w:rPr>
        <w:t xml:space="preserve"> </w:t>
      </w:r>
      <w:r w:rsidR="00F23EA5">
        <w:rPr>
          <w:rFonts w:ascii="Verdana" w:hAnsi="Verdana"/>
          <w:sz w:val="24"/>
          <w:szCs w:val="24"/>
        </w:rPr>
        <w:t xml:space="preserve">contengan </w:t>
      </w:r>
      <w:r w:rsidR="00F23EA5" w:rsidRPr="00F23EA5">
        <w:rPr>
          <w:rFonts w:ascii="Verdana" w:hAnsi="Verdana"/>
          <w:sz w:val="24"/>
          <w:szCs w:val="24"/>
        </w:rPr>
        <w:t>ayudas para las paradas temporales</w:t>
      </w:r>
      <w:r w:rsidR="00F23EA5">
        <w:rPr>
          <w:rFonts w:ascii="Verdana" w:hAnsi="Verdana"/>
          <w:sz w:val="24"/>
          <w:szCs w:val="24"/>
        </w:rPr>
        <w:t>. Dirigidas</w:t>
      </w:r>
      <w:r w:rsidR="00F23EA5" w:rsidRPr="00F23EA5">
        <w:rPr>
          <w:rFonts w:ascii="Verdana" w:hAnsi="Verdana"/>
          <w:sz w:val="24"/>
          <w:szCs w:val="24"/>
        </w:rPr>
        <w:t xml:space="preserve"> a la flota forzada a parar su actividad por los efectos de la crisis sanitaria (falta de tripulantes o imposibilidad de cumplir con los requisitos de seguridad a bordo para evitar contagios).</w:t>
      </w:r>
      <w:r w:rsidR="00680116">
        <w:rPr>
          <w:rFonts w:ascii="Verdana" w:hAnsi="Verdana"/>
          <w:sz w:val="24"/>
          <w:szCs w:val="24"/>
        </w:rPr>
        <w:t xml:space="preserve"> Esto</w:t>
      </w:r>
      <w:r w:rsidR="00F23EA5">
        <w:rPr>
          <w:rFonts w:ascii="Verdana" w:hAnsi="Verdana"/>
          <w:sz w:val="24"/>
          <w:szCs w:val="24"/>
        </w:rPr>
        <w:t xml:space="preserve">s </w:t>
      </w:r>
      <w:r w:rsidR="00680116">
        <w:rPr>
          <w:rFonts w:ascii="Verdana" w:hAnsi="Verdana"/>
          <w:sz w:val="24"/>
          <w:szCs w:val="24"/>
        </w:rPr>
        <w:t xml:space="preserve">apoyos permitirán conservar las empresas y los empleos pues cada puesto de trabajo que se pierda en el sector pesquero es un puesto </w:t>
      </w:r>
      <w:r w:rsidR="00682CDF">
        <w:rPr>
          <w:rFonts w:ascii="Verdana" w:hAnsi="Verdana"/>
          <w:sz w:val="24"/>
          <w:szCs w:val="24"/>
        </w:rPr>
        <w:t>dificilísimamente</w:t>
      </w:r>
      <w:r w:rsidR="00680116">
        <w:rPr>
          <w:rFonts w:ascii="Verdana" w:hAnsi="Verdana"/>
          <w:sz w:val="24"/>
          <w:szCs w:val="24"/>
        </w:rPr>
        <w:t xml:space="preserve"> recuperable.</w:t>
      </w:r>
      <w:r w:rsidR="00E57CE8">
        <w:rPr>
          <w:rFonts w:ascii="Verdana" w:hAnsi="Verdana"/>
          <w:sz w:val="24"/>
          <w:szCs w:val="24"/>
        </w:rPr>
        <w:t xml:space="preserve"> </w:t>
      </w:r>
    </w:p>
    <w:p w:rsidR="00E57CE8" w:rsidRDefault="00E57CE8" w:rsidP="007E6986">
      <w:pPr>
        <w:jc w:val="both"/>
        <w:rPr>
          <w:rFonts w:ascii="Verdana" w:hAnsi="Verdana"/>
          <w:sz w:val="24"/>
          <w:szCs w:val="24"/>
        </w:rPr>
      </w:pPr>
    </w:p>
    <w:p w:rsidR="00E57CE8" w:rsidRDefault="00E57CE8" w:rsidP="007E69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 medidas adoptadas son:</w:t>
      </w:r>
    </w:p>
    <w:p w:rsidR="001F7457" w:rsidRDefault="001F7457" w:rsidP="007E6986">
      <w:pPr>
        <w:jc w:val="both"/>
        <w:rPr>
          <w:rFonts w:ascii="Verdana" w:hAnsi="Verdana"/>
          <w:sz w:val="24"/>
          <w:szCs w:val="24"/>
        </w:rPr>
      </w:pPr>
    </w:p>
    <w:p w:rsidR="00887A08" w:rsidRDefault="00185AB4" w:rsidP="00E57CE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Apoyo a los pescadores por </w:t>
      </w:r>
      <w:r w:rsidR="00E57CE8" w:rsidRPr="00E57CE8">
        <w:rPr>
          <w:rFonts w:ascii="Verdana" w:hAnsi="Verdana"/>
          <w:b/>
          <w:bCs/>
          <w:sz w:val="24"/>
          <w:szCs w:val="24"/>
        </w:rPr>
        <w:t xml:space="preserve">paralización </w:t>
      </w:r>
      <w:r>
        <w:rPr>
          <w:rFonts w:ascii="Verdana" w:hAnsi="Verdana"/>
          <w:b/>
          <w:bCs/>
          <w:sz w:val="24"/>
          <w:szCs w:val="24"/>
        </w:rPr>
        <w:t>temporal de la pesca debido a lo</w:t>
      </w:r>
      <w:r w:rsidR="00E57CE8" w:rsidRPr="00E57CE8">
        <w:rPr>
          <w:rFonts w:ascii="Verdana" w:hAnsi="Verdana"/>
          <w:b/>
          <w:bCs/>
          <w:sz w:val="24"/>
          <w:szCs w:val="24"/>
        </w:rPr>
        <w:t xml:space="preserve">s </w:t>
      </w:r>
      <w:r>
        <w:rPr>
          <w:rFonts w:ascii="Verdana" w:hAnsi="Verdana"/>
          <w:b/>
          <w:bCs/>
          <w:sz w:val="24"/>
          <w:szCs w:val="24"/>
        </w:rPr>
        <w:t xml:space="preserve">efectos en las </w:t>
      </w:r>
      <w:r w:rsidR="00E57CE8" w:rsidRPr="00E57CE8">
        <w:rPr>
          <w:rFonts w:ascii="Verdana" w:hAnsi="Verdana"/>
          <w:b/>
          <w:bCs/>
          <w:sz w:val="24"/>
          <w:szCs w:val="24"/>
        </w:rPr>
        <w:t>actividades</w:t>
      </w:r>
      <w:r>
        <w:rPr>
          <w:rFonts w:ascii="Verdana" w:hAnsi="Verdana"/>
          <w:b/>
          <w:bCs/>
          <w:sz w:val="24"/>
          <w:szCs w:val="24"/>
        </w:rPr>
        <w:t xml:space="preserve"> pesqueras del</w:t>
      </w:r>
      <w:r w:rsidR="00E57CE8" w:rsidRPr="00E57CE8">
        <w:rPr>
          <w:rFonts w:ascii="Verdana" w:hAnsi="Verdana"/>
          <w:b/>
          <w:bCs/>
          <w:sz w:val="24"/>
          <w:szCs w:val="24"/>
        </w:rPr>
        <w:t xml:space="preserve"> coronavirus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="00E57CE8" w:rsidRPr="00E57CE8">
        <w:rPr>
          <w:rFonts w:ascii="Verdana" w:hAnsi="Verdana"/>
          <w:sz w:val="24"/>
          <w:szCs w:val="24"/>
        </w:rPr>
        <w:t xml:space="preserve">Se </w:t>
      </w:r>
      <w:r w:rsidR="00E57CE8" w:rsidRPr="00E57CE8">
        <w:rPr>
          <w:rFonts w:ascii="Verdana" w:hAnsi="Verdana"/>
          <w:b/>
          <w:sz w:val="24"/>
          <w:szCs w:val="24"/>
          <w:u w:val="single"/>
        </w:rPr>
        <w:t>exceptúan</w:t>
      </w:r>
      <w:r w:rsidR="00E57CE8" w:rsidRPr="00E57CE8">
        <w:rPr>
          <w:rFonts w:ascii="Verdana" w:hAnsi="Verdana"/>
          <w:sz w:val="24"/>
          <w:szCs w:val="24"/>
        </w:rPr>
        <w:t xml:space="preserve"> de la limitación máxima</w:t>
      </w:r>
      <w:r w:rsidR="00887A08" w:rsidRPr="00E57CE8">
        <w:rPr>
          <w:rFonts w:ascii="Verdana" w:hAnsi="Verdana"/>
          <w:sz w:val="24"/>
          <w:szCs w:val="24"/>
        </w:rPr>
        <w:t xml:space="preserve"> de 6 meses por buque que </w:t>
      </w:r>
      <w:r w:rsidR="00E57CE8" w:rsidRPr="00E57CE8">
        <w:rPr>
          <w:rFonts w:ascii="Verdana" w:hAnsi="Verdana"/>
          <w:sz w:val="24"/>
          <w:szCs w:val="24"/>
        </w:rPr>
        <w:t xml:space="preserve">tiene establecido </w:t>
      </w:r>
      <w:r w:rsidR="00887A08" w:rsidRPr="00E57CE8">
        <w:rPr>
          <w:rFonts w:ascii="Verdana" w:hAnsi="Verdana"/>
          <w:sz w:val="24"/>
          <w:szCs w:val="24"/>
        </w:rPr>
        <w:t>el Fondo Europeo Marítimo y de Pesca (FEMP) para las ayudas por paralización temporal y se aumenta el porcentaje de cofinanciación a cargo de la CE del  50</w:t>
      </w:r>
      <w:r>
        <w:rPr>
          <w:rFonts w:ascii="Verdana" w:hAnsi="Verdana"/>
          <w:sz w:val="24"/>
          <w:szCs w:val="24"/>
        </w:rPr>
        <w:t>%</w:t>
      </w:r>
      <w:r w:rsidR="00887A08" w:rsidRPr="00E57CE8">
        <w:rPr>
          <w:rFonts w:ascii="Verdana" w:hAnsi="Verdana"/>
          <w:sz w:val="24"/>
          <w:szCs w:val="24"/>
        </w:rPr>
        <w:t xml:space="preserve"> al 75 %.</w:t>
      </w:r>
    </w:p>
    <w:p w:rsidR="001F7457" w:rsidRDefault="001F7457" w:rsidP="001F7457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3025DC" w:rsidRPr="001F7457" w:rsidRDefault="00E57CE8" w:rsidP="001244A1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E57CE8">
        <w:rPr>
          <w:rFonts w:ascii="Verdana" w:hAnsi="Verdana"/>
          <w:sz w:val="24"/>
          <w:szCs w:val="24"/>
        </w:rPr>
        <w:t>poyo a</w:t>
      </w:r>
      <w:r>
        <w:rPr>
          <w:rFonts w:ascii="Verdana" w:hAnsi="Verdana"/>
          <w:sz w:val="24"/>
          <w:szCs w:val="24"/>
        </w:rPr>
        <w:t xml:space="preserve"> la</w:t>
      </w:r>
      <w:r w:rsidRPr="00E57CE8">
        <w:rPr>
          <w:rFonts w:ascii="Verdana" w:hAnsi="Verdana"/>
          <w:sz w:val="24"/>
          <w:szCs w:val="24"/>
        </w:rPr>
        <w:t> </w:t>
      </w:r>
      <w:r w:rsidRPr="00E57CE8">
        <w:rPr>
          <w:rFonts w:ascii="Verdana" w:hAnsi="Verdana"/>
          <w:b/>
          <w:bCs/>
          <w:sz w:val="24"/>
          <w:szCs w:val="24"/>
        </w:rPr>
        <w:t>acuicultura</w:t>
      </w:r>
      <w:r>
        <w:rPr>
          <w:rFonts w:ascii="Verdana" w:hAnsi="Verdana"/>
          <w:sz w:val="24"/>
          <w:szCs w:val="24"/>
        </w:rPr>
        <w:t xml:space="preserve"> para </w:t>
      </w:r>
      <w:r w:rsidRPr="00E57CE8">
        <w:rPr>
          <w:rFonts w:ascii="Verdana" w:hAnsi="Verdana"/>
          <w:b/>
          <w:sz w:val="24"/>
          <w:szCs w:val="24"/>
        </w:rPr>
        <w:t>compensar</w:t>
      </w:r>
      <w:r w:rsidRPr="00E57CE8">
        <w:rPr>
          <w:rFonts w:ascii="Verdana" w:hAnsi="Verdana"/>
          <w:b/>
          <w:bCs/>
          <w:sz w:val="24"/>
          <w:szCs w:val="24"/>
        </w:rPr>
        <w:t xml:space="preserve"> la reducción de la producción debido a</w:t>
      </w:r>
      <w:r>
        <w:rPr>
          <w:rFonts w:ascii="Verdana" w:hAnsi="Verdana"/>
          <w:b/>
          <w:bCs/>
          <w:sz w:val="24"/>
          <w:szCs w:val="24"/>
        </w:rPr>
        <w:t>l</w:t>
      </w:r>
      <w:r w:rsidRPr="00E57CE8">
        <w:rPr>
          <w:rFonts w:ascii="Verdana" w:hAnsi="Verdana"/>
          <w:b/>
          <w:bCs/>
          <w:sz w:val="24"/>
          <w:szCs w:val="24"/>
        </w:rPr>
        <w:t xml:space="preserve"> </w:t>
      </w:r>
      <w:r w:rsidR="00185AB4">
        <w:rPr>
          <w:rFonts w:ascii="Verdana" w:hAnsi="Verdana"/>
          <w:b/>
          <w:bCs/>
          <w:sz w:val="24"/>
          <w:szCs w:val="24"/>
        </w:rPr>
        <w:t xml:space="preserve">efecto del </w:t>
      </w:r>
      <w:r w:rsidRPr="00E57CE8">
        <w:rPr>
          <w:rFonts w:ascii="Verdana" w:hAnsi="Verdana"/>
          <w:b/>
          <w:bCs/>
          <w:sz w:val="24"/>
          <w:szCs w:val="24"/>
        </w:rPr>
        <w:t>coronavirus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E57CE8">
        <w:rPr>
          <w:rFonts w:ascii="Verdana" w:hAnsi="Verdana"/>
          <w:bCs/>
          <w:sz w:val="24"/>
          <w:szCs w:val="24"/>
        </w:rPr>
        <w:t>También en este caso está cofinanciada al 75 % y permite compensar a las empresas acuícolas por un descenso en los ingresos.</w:t>
      </w:r>
      <w:r w:rsidR="00363A8F">
        <w:rPr>
          <w:rFonts w:ascii="Verdana" w:hAnsi="Verdana"/>
          <w:bCs/>
          <w:sz w:val="24"/>
          <w:szCs w:val="24"/>
        </w:rPr>
        <w:t xml:space="preserve"> Contribuyendo a garantizar el abastecimiento alimentario. </w:t>
      </w:r>
      <w:r w:rsidR="003025DC">
        <w:rPr>
          <w:rFonts w:ascii="Verdana" w:hAnsi="Verdana"/>
          <w:bCs/>
          <w:sz w:val="24"/>
          <w:szCs w:val="24"/>
        </w:rPr>
        <w:t>No obstante CCOO considera la necesidad de extender a la flota pesquera esta medida para las embarcaci</w:t>
      </w:r>
      <w:r w:rsidR="00185AB4">
        <w:rPr>
          <w:rFonts w:ascii="Verdana" w:hAnsi="Verdana"/>
          <w:bCs/>
          <w:sz w:val="24"/>
          <w:szCs w:val="24"/>
        </w:rPr>
        <w:t>ones que siguen faenando para g</w:t>
      </w:r>
      <w:r w:rsidR="003025DC">
        <w:rPr>
          <w:rFonts w:ascii="Verdana" w:hAnsi="Verdana"/>
          <w:bCs/>
          <w:sz w:val="24"/>
          <w:szCs w:val="24"/>
        </w:rPr>
        <w:t xml:space="preserve">arantizar el suministro de pescado a la población. Se está dando la situación que al vender el producto desembarcado los gastos superan a los beneficios de la venta, </w:t>
      </w:r>
      <w:r w:rsidR="003025DC" w:rsidRPr="003025DC">
        <w:rPr>
          <w:rFonts w:ascii="Verdana" w:hAnsi="Verdana"/>
          <w:bCs/>
          <w:sz w:val="24"/>
          <w:szCs w:val="24"/>
        </w:rPr>
        <w:t>provocada por la imp</w:t>
      </w:r>
      <w:r w:rsidR="00185AB4">
        <w:rPr>
          <w:rFonts w:ascii="Verdana" w:hAnsi="Verdana"/>
          <w:bCs/>
          <w:sz w:val="24"/>
          <w:szCs w:val="24"/>
        </w:rPr>
        <w:t>ortante caída de precios. A</w:t>
      </w:r>
      <w:r w:rsidR="003025DC" w:rsidRPr="003025DC">
        <w:rPr>
          <w:rFonts w:ascii="Verdana" w:hAnsi="Verdana"/>
          <w:bCs/>
          <w:sz w:val="24"/>
          <w:szCs w:val="24"/>
        </w:rPr>
        <w:t>menaza</w:t>
      </w:r>
      <w:r w:rsidR="00185AB4">
        <w:rPr>
          <w:rFonts w:ascii="Verdana" w:hAnsi="Verdana"/>
          <w:bCs/>
          <w:sz w:val="24"/>
          <w:szCs w:val="24"/>
        </w:rPr>
        <w:t>ndo</w:t>
      </w:r>
      <w:r w:rsidR="003025DC" w:rsidRPr="003025DC">
        <w:rPr>
          <w:rFonts w:ascii="Verdana" w:hAnsi="Verdana"/>
          <w:bCs/>
          <w:sz w:val="24"/>
          <w:szCs w:val="24"/>
        </w:rPr>
        <w:t xml:space="preserve"> la viabilidad financiera </w:t>
      </w:r>
      <w:r w:rsidR="00185AB4">
        <w:rPr>
          <w:rFonts w:ascii="Verdana" w:hAnsi="Verdana"/>
          <w:bCs/>
          <w:sz w:val="24"/>
          <w:szCs w:val="24"/>
        </w:rPr>
        <w:t>y repercutiendo a la baja en</w:t>
      </w:r>
      <w:r w:rsidR="003025DC">
        <w:rPr>
          <w:rFonts w:ascii="Verdana" w:hAnsi="Verdana"/>
          <w:bCs/>
          <w:sz w:val="24"/>
          <w:szCs w:val="24"/>
        </w:rPr>
        <w:t xml:space="preserve"> los ingresos del pescador</w:t>
      </w:r>
      <w:r w:rsidR="00185AB4">
        <w:rPr>
          <w:rFonts w:ascii="Verdana" w:hAnsi="Verdana"/>
          <w:bCs/>
          <w:sz w:val="24"/>
          <w:szCs w:val="24"/>
        </w:rPr>
        <w:t xml:space="preserve">, </w:t>
      </w:r>
      <w:r w:rsidR="003025DC">
        <w:rPr>
          <w:rFonts w:ascii="Verdana" w:hAnsi="Verdana"/>
          <w:bCs/>
          <w:sz w:val="24"/>
          <w:szCs w:val="24"/>
        </w:rPr>
        <w:t xml:space="preserve"> pues el salario es a la parte. </w:t>
      </w:r>
    </w:p>
    <w:p w:rsidR="001F7457" w:rsidRDefault="001F7457" w:rsidP="001F7457">
      <w:pPr>
        <w:jc w:val="both"/>
        <w:rPr>
          <w:rFonts w:ascii="Verdana" w:hAnsi="Verdana"/>
          <w:sz w:val="24"/>
          <w:szCs w:val="24"/>
        </w:rPr>
      </w:pPr>
    </w:p>
    <w:p w:rsidR="001F7457" w:rsidRDefault="001F7457" w:rsidP="001F7457">
      <w:pPr>
        <w:jc w:val="both"/>
        <w:rPr>
          <w:rFonts w:ascii="Verdana" w:hAnsi="Verdana"/>
          <w:sz w:val="24"/>
          <w:szCs w:val="24"/>
        </w:rPr>
      </w:pPr>
    </w:p>
    <w:p w:rsidR="001F7457" w:rsidRPr="001F7457" w:rsidRDefault="001F7457" w:rsidP="001F7457">
      <w:pPr>
        <w:jc w:val="both"/>
        <w:rPr>
          <w:rFonts w:ascii="Verdana" w:hAnsi="Verdana"/>
          <w:sz w:val="24"/>
          <w:szCs w:val="24"/>
        </w:rPr>
      </w:pPr>
    </w:p>
    <w:p w:rsidR="003025DC" w:rsidRPr="003025DC" w:rsidRDefault="003025DC" w:rsidP="003025DC">
      <w:pPr>
        <w:jc w:val="both"/>
        <w:rPr>
          <w:rFonts w:ascii="Verdana" w:hAnsi="Verdana"/>
          <w:sz w:val="24"/>
          <w:szCs w:val="24"/>
        </w:rPr>
      </w:pPr>
    </w:p>
    <w:p w:rsidR="00363A8F" w:rsidRDefault="00185AB4" w:rsidP="00363A8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recupera </w:t>
      </w:r>
      <w:r w:rsidR="00A71335" w:rsidRPr="00A71335">
        <w:rPr>
          <w:rFonts w:ascii="Verdana" w:hAnsi="Verdana"/>
          <w:sz w:val="24"/>
          <w:szCs w:val="24"/>
        </w:rPr>
        <w:t>el </w:t>
      </w:r>
      <w:r w:rsidR="00A71335" w:rsidRPr="00A71335">
        <w:rPr>
          <w:rFonts w:ascii="Verdana" w:hAnsi="Verdana"/>
          <w:b/>
          <w:bCs/>
          <w:sz w:val="24"/>
          <w:szCs w:val="24"/>
        </w:rPr>
        <w:t>almacenamiento,</w:t>
      </w:r>
      <w:r w:rsidR="00A71335" w:rsidRPr="00A71335">
        <w:rPr>
          <w:rFonts w:ascii="Verdana" w:hAnsi="Verdana"/>
          <w:sz w:val="24"/>
          <w:szCs w:val="24"/>
        </w:rPr>
        <w:t> medida que se había eliminado desde el año 2017. De esta forma, tanto la OPP como el sector de la acuicultura se podrán beneficiar</w:t>
      </w:r>
      <w:r w:rsidR="00A71335">
        <w:rPr>
          <w:rFonts w:ascii="Verdana" w:hAnsi="Verdana"/>
          <w:sz w:val="24"/>
          <w:szCs w:val="24"/>
        </w:rPr>
        <w:t>.</w:t>
      </w:r>
      <w:r w:rsidR="00A71335" w:rsidRPr="00A71335">
        <w:rPr>
          <w:rFonts w:ascii="Verdana" w:hAnsi="Verdana"/>
          <w:sz w:val="24"/>
          <w:szCs w:val="24"/>
        </w:rPr>
        <w:t xml:space="preserve"> </w:t>
      </w:r>
      <w:r w:rsidR="00A71335">
        <w:rPr>
          <w:rFonts w:ascii="Verdana" w:hAnsi="Verdana"/>
          <w:sz w:val="24"/>
          <w:szCs w:val="24"/>
        </w:rPr>
        <w:t>F</w:t>
      </w:r>
      <w:r w:rsidR="00A71335" w:rsidRPr="00A71335">
        <w:rPr>
          <w:rFonts w:ascii="Verdana" w:hAnsi="Verdana"/>
          <w:sz w:val="24"/>
          <w:szCs w:val="24"/>
        </w:rPr>
        <w:t>inanciada en su integridad mediante fondos comunitarios. Permitirá almacenar hasta el 20 % del valor de la producción y el 25 % de su volumen.</w:t>
      </w:r>
      <w:r w:rsidR="00A71335">
        <w:rPr>
          <w:rFonts w:ascii="Verdana" w:hAnsi="Verdana"/>
          <w:sz w:val="24"/>
          <w:szCs w:val="24"/>
        </w:rPr>
        <w:t xml:space="preserve"> C</w:t>
      </w:r>
      <w:r w:rsidR="00A71335" w:rsidRPr="00A71335">
        <w:rPr>
          <w:rFonts w:ascii="Verdana" w:hAnsi="Verdana"/>
          <w:sz w:val="24"/>
          <w:szCs w:val="24"/>
        </w:rPr>
        <w:t xml:space="preserve">uando los precios caigan por debajo de un precio de referencia, se almacena </w:t>
      </w:r>
      <w:r w:rsidR="003025DC">
        <w:rPr>
          <w:rFonts w:ascii="Verdana" w:hAnsi="Verdana"/>
          <w:sz w:val="24"/>
          <w:szCs w:val="24"/>
        </w:rPr>
        <w:t xml:space="preserve">el </w:t>
      </w:r>
      <w:r w:rsidR="00A71335" w:rsidRPr="00A71335">
        <w:rPr>
          <w:rFonts w:ascii="Verdana" w:hAnsi="Verdana"/>
          <w:sz w:val="24"/>
          <w:szCs w:val="24"/>
        </w:rPr>
        <w:t>producto que se podrá sacar al mercado de forma progresiva.</w:t>
      </w:r>
      <w:r w:rsidR="003025DC">
        <w:rPr>
          <w:rFonts w:ascii="Verdana" w:hAnsi="Verdana"/>
          <w:sz w:val="24"/>
          <w:szCs w:val="24"/>
        </w:rPr>
        <w:t xml:space="preserve"> </w:t>
      </w:r>
    </w:p>
    <w:p w:rsidR="001F7457" w:rsidRPr="001F7457" w:rsidRDefault="001F7457" w:rsidP="001F7457">
      <w:pPr>
        <w:jc w:val="both"/>
        <w:rPr>
          <w:rFonts w:ascii="Verdana" w:hAnsi="Verdana"/>
          <w:sz w:val="24"/>
          <w:szCs w:val="24"/>
        </w:rPr>
      </w:pPr>
    </w:p>
    <w:p w:rsidR="001244A1" w:rsidRDefault="001244A1" w:rsidP="00363A8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1244A1">
        <w:rPr>
          <w:rFonts w:ascii="Verdana" w:hAnsi="Verdana"/>
          <w:sz w:val="24"/>
          <w:szCs w:val="24"/>
        </w:rPr>
        <w:t xml:space="preserve">ayor </w:t>
      </w:r>
      <w:r w:rsidRPr="001244A1">
        <w:rPr>
          <w:rFonts w:ascii="Verdana" w:hAnsi="Verdana"/>
          <w:b/>
          <w:sz w:val="24"/>
          <w:szCs w:val="24"/>
        </w:rPr>
        <w:t>Flexibilidad en la reasignación del FEMP</w:t>
      </w:r>
      <w:r>
        <w:rPr>
          <w:rFonts w:ascii="Verdana" w:hAnsi="Verdana"/>
          <w:sz w:val="24"/>
          <w:szCs w:val="24"/>
        </w:rPr>
        <w:t xml:space="preserve"> </w:t>
      </w:r>
      <w:r w:rsidRPr="001244A1">
        <w:rPr>
          <w:rFonts w:ascii="Verdana" w:hAnsi="Verdana"/>
          <w:sz w:val="24"/>
          <w:szCs w:val="24"/>
        </w:rPr>
        <w:t>del programa operat</w:t>
      </w:r>
      <w:r>
        <w:rPr>
          <w:rFonts w:ascii="Verdana" w:hAnsi="Verdana"/>
          <w:sz w:val="24"/>
          <w:szCs w:val="24"/>
        </w:rPr>
        <w:t xml:space="preserve">ivo de cada Estado miembro y simplificando el </w:t>
      </w:r>
      <w:r w:rsidRPr="001244A1">
        <w:rPr>
          <w:rFonts w:ascii="Verdana" w:hAnsi="Verdana"/>
          <w:sz w:val="24"/>
          <w:szCs w:val="24"/>
        </w:rPr>
        <w:t>pr</w:t>
      </w:r>
      <w:r>
        <w:rPr>
          <w:rFonts w:ascii="Verdana" w:hAnsi="Verdana"/>
          <w:sz w:val="24"/>
          <w:szCs w:val="24"/>
        </w:rPr>
        <w:t xml:space="preserve">ocedimiento </w:t>
      </w:r>
      <w:r w:rsidRPr="001244A1">
        <w:rPr>
          <w:rFonts w:ascii="Verdana" w:hAnsi="Verdana"/>
          <w:sz w:val="24"/>
          <w:szCs w:val="24"/>
        </w:rPr>
        <w:t>para la modificación</w:t>
      </w:r>
      <w:r>
        <w:rPr>
          <w:rFonts w:ascii="Verdana" w:hAnsi="Verdana"/>
          <w:sz w:val="24"/>
          <w:szCs w:val="24"/>
        </w:rPr>
        <w:t xml:space="preserve"> </w:t>
      </w:r>
      <w:r w:rsidRPr="001244A1">
        <w:rPr>
          <w:rFonts w:ascii="Verdana" w:hAnsi="Verdana"/>
          <w:sz w:val="24"/>
          <w:szCs w:val="24"/>
        </w:rPr>
        <w:t>con respecto a la introducción de las nuevas medidas.</w:t>
      </w:r>
    </w:p>
    <w:p w:rsidR="009340F6" w:rsidRDefault="009340F6" w:rsidP="009340F6">
      <w:pPr>
        <w:jc w:val="both"/>
        <w:rPr>
          <w:rFonts w:ascii="Verdana" w:hAnsi="Verdana"/>
          <w:sz w:val="24"/>
          <w:szCs w:val="24"/>
        </w:rPr>
      </w:pPr>
    </w:p>
    <w:p w:rsidR="009340F6" w:rsidRPr="009340F6" w:rsidRDefault="001F7457" w:rsidP="009340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Esto s</w:t>
      </w:r>
      <w:r w:rsidR="009340F6" w:rsidRPr="009340F6">
        <w:rPr>
          <w:rFonts w:ascii="Verdana" w:hAnsi="Verdana"/>
          <w:sz w:val="24"/>
          <w:szCs w:val="24"/>
        </w:rPr>
        <w:t>iempre qu</w:t>
      </w:r>
      <w:r w:rsidR="009340F6">
        <w:rPr>
          <w:rFonts w:ascii="Verdana" w:hAnsi="Verdana"/>
          <w:sz w:val="24"/>
          <w:szCs w:val="24"/>
        </w:rPr>
        <w:t>e la p</w:t>
      </w:r>
      <w:r w:rsidR="00BC6844">
        <w:rPr>
          <w:rFonts w:ascii="Verdana" w:hAnsi="Verdana"/>
          <w:sz w:val="24"/>
          <w:szCs w:val="24"/>
        </w:rPr>
        <w:t>ropuesta de la Comisión sea</w:t>
      </w:r>
      <w:r w:rsidR="009340F6">
        <w:rPr>
          <w:rFonts w:ascii="Verdana" w:hAnsi="Verdana"/>
          <w:sz w:val="24"/>
          <w:szCs w:val="24"/>
        </w:rPr>
        <w:t xml:space="preserve"> adoptada</w:t>
      </w:r>
      <w:r w:rsidR="009340F6" w:rsidRPr="009340F6">
        <w:rPr>
          <w:rFonts w:ascii="Verdana" w:hAnsi="Verdana"/>
          <w:sz w:val="24"/>
          <w:szCs w:val="24"/>
        </w:rPr>
        <w:t xml:space="preserve"> por el Consejo y el Parlamento Europeo</w:t>
      </w:r>
      <w:r w:rsidR="00BC6844">
        <w:rPr>
          <w:rFonts w:ascii="Verdana" w:hAnsi="Verdana"/>
          <w:sz w:val="24"/>
          <w:szCs w:val="24"/>
        </w:rPr>
        <w:t xml:space="preserve"> los días 4 y 18 de Abril, sin modificaciones.</w:t>
      </w:r>
      <w:r w:rsidR="009340F6" w:rsidRPr="009340F6">
        <w:rPr>
          <w:rFonts w:ascii="Verdana" w:hAnsi="Verdana"/>
          <w:sz w:val="24"/>
          <w:szCs w:val="24"/>
        </w:rPr>
        <w:t xml:space="preserve"> </w:t>
      </w:r>
      <w:r w:rsidR="00BC6844" w:rsidRPr="009340F6">
        <w:rPr>
          <w:rFonts w:ascii="Verdana" w:hAnsi="Verdana"/>
          <w:sz w:val="24"/>
          <w:szCs w:val="24"/>
        </w:rPr>
        <w:t>El</w:t>
      </w:r>
      <w:r w:rsidR="00BC6844">
        <w:rPr>
          <w:rFonts w:ascii="Verdana" w:hAnsi="Verdana"/>
          <w:sz w:val="24"/>
          <w:szCs w:val="24"/>
        </w:rPr>
        <w:t xml:space="preserve"> gasto de las medidas de apoyo</w:t>
      </w:r>
      <w:r w:rsidR="009340F6" w:rsidRPr="009340F6">
        <w:rPr>
          <w:rFonts w:ascii="Verdana" w:hAnsi="Verdana"/>
          <w:sz w:val="24"/>
          <w:szCs w:val="24"/>
        </w:rPr>
        <w:t xml:space="preserve"> por las medidas relacionadas</w:t>
      </w:r>
      <w:r w:rsidR="00BC6844">
        <w:rPr>
          <w:rFonts w:ascii="Verdana" w:hAnsi="Verdana"/>
          <w:sz w:val="24"/>
          <w:szCs w:val="24"/>
        </w:rPr>
        <w:t xml:space="preserve"> con el coronavirus </w:t>
      </w:r>
      <w:r w:rsidR="009340F6" w:rsidRPr="009340F6">
        <w:rPr>
          <w:rFonts w:ascii="Verdana" w:hAnsi="Verdana"/>
          <w:sz w:val="24"/>
          <w:szCs w:val="24"/>
        </w:rPr>
        <w:t>será</w:t>
      </w:r>
      <w:r w:rsidR="00BC6844">
        <w:rPr>
          <w:rFonts w:ascii="Verdana" w:hAnsi="Verdana"/>
          <w:sz w:val="24"/>
          <w:szCs w:val="24"/>
        </w:rPr>
        <w:t>n</w:t>
      </w:r>
      <w:r w:rsidR="009340F6" w:rsidRPr="009340F6">
        <w:rPr>
          <w:rFonts w:ascii="Verdana" w:hAnsi="Verdana"/>
          <w:sz w:val="24"/>
          <w:szCs w:val="24"/>
        </w:rPr>
        <w:t> </w:t>
      </w:r>
      <w:r w:rsidR="00BC6844">
        <w:rPr>
          <w:rFonts w:ascii="Verdana" w:hAnsi="Verdana"/>
          <w:b/>
          <w:bCs/>
          <w:sz w:val="24"/>
          <w:szCs w:val="24"/>
        </w:rPr>
        <w:t xml:space="preserve"> de</w:t>
      </w:r>
      <w:r w:rsidR="009340F6" w:rsidRPr="009340F6">
        <w:rPr>
          <w:rFonts w:ascii="Verdana" w:hAnsi="Verdana"/>
          <w:b/>
          <w:bCs/>
          <w:sz w:val="24"/>
          <w:szCs w:val="24"/>
        </w:rPr>
        <w:t xml:space="preserve"> carácter retroactivo </w:t>
      </w:r>
      <w:r w:rsidR="00BC6844">
        <w:rPr>
          <w:rFonts w:ascii="Verdana" w:hAnsi="Verdana"/>
          <w:b/>
          <w:bCs/>
          <w:sz w:val="24"/>
          <w:szCs w:val="24"/>
        </w:rPr>
        <w:t xml:space="preserve">desde </w:t>
      </w:r>
      <w:r w:rsidR="009340F6" w:rsidRPr="009340F6">
        <w:rPr>
          <w:rFonts w:ascii="Verdana" w:hAnsi="Verdana"/>
          <w:b/>
          <w:bCs/>
          <w:sz w:val="24"/>
          <w:szCs w:val="24"/>
        </w:rPr>
        <w:t>el 1 de febrero 2020 al 31 de diciembre el 2020.</w:t>
      </w:r>
    </w:p>
    <w:p w:rsidR="009340F6" w:rsidRDefault="009340F6" w:rsidP="009340F6">
      <w:pPr>
        <w:jc w:val="both"/>
        <w:rPr>
          <w:rFonts w:ascii="Verdana" w:hAnsi="Verdana"/>
          <w:sz w:val="24"/>
          <w:szCs w:val="24"/>
        </w:rPr>
      </w:pPr>
    </w:p>
    <w:p w:rsidR="009340F6" w:rsidRPr="009340F6" w:rsidRDefault="00BC6844" w:rsidP="009340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</w:t>
      </w:r>
      <w:r w:rsidRPr="00BC6844">
        <w:rPr>
          <w:rFonts w:ascii="Verdana" w:hAnsi="Verdana"/>
          <w:sz w:val="24"/>
          <w:szCs w:val="24"/>
        </w:rPr>
        <w:t xml:space="preserve"> compet</w:t>
      </w:r>
      <w:r>
        <w:rPr>
          <w:rFonts w:ascii="Verdana" w:hAnsi="Verdana"/>
          <w:sz w:val="24"/>
          <w:szCs w:val="24"/>
        </w:rPr>
        <w:t xml:space="preserve">encia de los Estados miembros como </w:t>
      </w:r>
      <w:r w:rsidRPr="00BC6844">
        <w:rPr>
          <w:rFonts w:ascii="Verdana" w:hAnsi="Verdana"/>
          <w:sz w:val="24"/>
          <w:szCs w:val="24"/>
        </w:rPr>
        <w:t xml:space="preserve">hacer uso de estos recursos. </w:t>
      </w:r>
      <w:r>
        <w:rPr>
          <w:rFonts w:ascii="Verdana" w:hAnsi="Verdana"/>
          <w:sz w:val="24"/>
          <w:szCs w:val="24"/>
        </w:rPr>
        <w:t>Estaremos supervisando las iniciativas aquí</w:t>
      </w:r>
      <w:r w:rsidRPr="00BC684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para que la implantación sea adecuadamente protegiendo al sector</w:t>
      </w:r>
      <w:r w:rsidRPr="00BC684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BC6844">
        <w:rPr>
          <w:rFonts w:ascii="Verdana" w:hAnsi="Verdana"/>
          <w:sz w:val="24"/>
          <w:szCs w:val="24"/>
        </w:rPr>
        <w:t>Vamos a seguir vigiland</w:t>
      </w:r>
      <w:r>
        <w:rPr>
          <w:rFonts w:ascii="Verdana" w:hAnsi="Verdana"/>
          <w:sz w:val="24"/>
          <w:szCs w:val="24"/>
        </w:rPr>
        <w:t>o las decisiones a nivel Europeo e informando</w:t>
      </w:r>
      <w:r w:rsidRPr="00BC6844">
        <w:rPr>
          <w:rFonts w:ascii="Verdana" w:hAnsi="Verdana"/>
          <w:sz w:val="24"/>
          <w:szCs w:val="24"/>
        </w:rPr>
        <w:t>.</w:t>
      </w:r>
    </w:p>
    <w:p w:rsidR="00F23EA5" w:rsidRDefault="00F23EA5" w:rsidP="007E6986">
      <w:pPr>
        <w:jc w:val="both"/>
        <w:rPr>
          <w:rFonts w:ascii="Verdana" w:hAnsi="Verdana"/>
          <w:sz w:val="24"/>
          <w:szCs w:val="24"/>
        </w:rPr>
      </w:pPr>
    </w:p>
    <w:p w:rsidR="00CD56FC" w:rsidRPr="00CD56FC" w:rsidRDefault="00E14EE0" w:rsidP="00E14EE0">
      <w:pPr>
        <w:jc w:val="both"/>
        <w:rPr>
          <w:rFonts w:ascii="Verdana" w:hAnsi="Verdana"/>
          <w:sz w:val="24"/>
          <w:szCs w:val="24"/>
        </w:rPr>
      </w:pPr>
      <w:r w:rsidRPr="00CD56FC">
        <w:rPr>
          <w:rFonts w:ascii="Verdana" w:hAnsi="Verdana"/>
          <w:sz w:val="24"/>
          <w:szCs w:val="24"/>
        </w:rPr>
        <w:t> </w:t>
      </w:r>
    </w:p>
    <w:p w:rsidR="00E14EE0" w:rsidRPr="00CD56FC" w:rsidRDefault="009340F6" w:rsidP="00E14EE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propuesta legislativa </w:t>
      </w:r>
      <w:r w:rsidR="00E14EE0" w:rsidRPr="00CD56FC">
        <w:rPr>
          <w:rFonts w:ascii="Verdana" w:hAnsi="Verdana"/>
          <w:sz w:val="24"/>
          <w:szCs w:val="24"/>
        </w:rPr>
        <w:t>completa se puede leer </w:t>
      </w:r>
      <w:hyperlink r:id="rId7" w:tgtFrame="_blank" w:history="1">
        <w:r w:rsidR="00E14EE0" w:rsidRPr="00CD56FC">
          <w:rPr>
            <w:rStyle w:val="Hyperlink"/>
            <w:rFonts w:ascii="Verdana" w:hAnsi="Verdana"/>
            <w:sz w:val="24"/>
            <w:szCs w:val="24"/>
          </w:rPr>
          <w:t>aquí</w:t>
        </w:r>
      </w:hyperlink>
      <w:r w:rsidR="00E14EE0" w:rsidRPr="00CD56FC">
        <w:rPr>
          <w:rFonts w:ascii="Verdana" w:hAnsi="Verdana"/>
          <w:sz w:val="24"/>
          <w:szCs w:val="24"/>
        </w:rPr>
        <w:t> .</w:t>
      </w:r>
      <w:r w:rsidR="00CD56FC" w:rsidRPr="00CD56FC">
        <w:rPr>
          <w:rFonts w:ascii="Verdana" w:hAnsi="Verdana"/>
          <w:sz w:val="24"/>
          <w:szCs w:val="24"/>
        </w:rPr>
        <w:t xml:space="preserve">(activar un </w:t>
      </w:r>
      <w:r w:rsidR="0037109E" w:rsidRPr="00CD56FC">
        <w:rPr>
          <w:rFonts w:ascii="Verdana" w:hAnsi="Verdana"/>
          <w:sz w:val="24"/>
          <w:szCs w:val="24"/>
        </w:rPr>
        <w:t>vínculo</w:t>
      </w:r>
      <w:r w:rsidR="00CD56FC" w:rsidRPr="00CD56FC">
        <w:rPr>
          <w:rFonts w:ascii="Verdana" w:hAnsi="Verdana"/>
          <w:sz w:val="24"/>
          <w:szCs w:val="24"/>
        </w:rPr>
        <w:t>)</w:t>
      </w:r>
    </w:p>
    <w:p w:rsidR="00E14EE0" w:rsidRPr="00E14EE0" w:rsidRDefault="00E14EE0" w:rsidP="00E14EE0">
      <w:pPr>
        <w:jc w:val="both"/>
      </w:pPr>
      <w:r w:rsidRPr="00E14EE0">
        <w:t> </w:t>
      </w:r>
    </w:p>
    <w:p w:rsidR="00E14EE0" w:rsidRPr="00E14EE0" w:rsidRDefault="00E14EE0" w:rsidP="00E14EE0">
      <w:pPr>
        <w:jc w:val="both"/>
      </w:pPr>
      <w:r w:rsidRPr="00E14EE0">
        <w:t> </w:t>
      </w:r>
    </w:p>
    <w:p w:rsidR="00BC3962" w:rsidRDefault="00BC3962" w:rsidP="00E14EE0">
      <w:pPr>
        <w:jc w:val="both"/>
      </w:pPr>
    </w:p>
    <w:sectPr w:rsidR="00BC3962" w:rsidSect="008C62B8">
      <w:headerReference w:type="default" r:id="rId8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C7" w:rsidRDefault="00E916C7" w:rsidP="008C62B8">
      <w:r>
        <w:separator/>
      </w:r>
    </w:p>
  </w:endnote>
  <w:endnote w:type="continuationSeparator" w:id="0">
    <w:p w:rsidR="00E916C7" w:rsidRDefault="00E916C7" w:rsidP="008C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C7" w:rsidRDefault="00E916C7" w:rsidP="008C62B8">
      <w:r>
        <w:separator/>
      </w:r>
    </w:p>
  </w:footnote>
  <w:footnote w:type="continuationSeparator" w:id="0">
    <w:p w:rsidR="00E916C7" w:rsidRDefault="00E916C7" w:rsidP="008C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B8" w:rsidRDefault="008C62B8">
    <w:pPr>
      <w:pStyle w:val="Header"/>
    </w:pPr>
    <w:r>
      <w:rPr>
        <w:noProof/>
        <w:lang w:eastAsia="es-ES"/>
      </w:rPr>
      <w:drawing>
        <wp:inline distT="0" distB="0" distL="0" distR="0" wp14:anchorId="7CFEE79C" wp14:editId="5A084102">
          <wp:extent cx="1615554" cy="651166"/>
          <wp:effectExtent l="0" t="0" r="381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tor M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89" cy="65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6B5D"/>
    <w:multiLevelType w:val="hybridMultilevel"/>
    <w:tmpl w:val="4BFEB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73BD"/>
    <w:multiLevelType w:val="multilevel"/>
    <w:tmpl w:val="E10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9502CF"/>
    <w:multiLevelType w:val="hybridMultilevel"/>
    <w:tmpl w:val="F15E2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E0"/>
    <w:rsid w:val="000A1A66"/>
    <w:rsid w:val="000F3DAA"/>
    <w:rsid w:val="001244A1"/>
    <w:rsid w:val="00147081"/>
    <w:rsid w:val="00185AB4"/>
    <w:rsid w:val="001F7457"/>
    <w:rsid w:val="002B5332"/>
    <w:rsid w:val="003025DC"/>
    <w:rsid w:val="003118CD"/>
    <w:rsid w:val="00363A8F"/>
    <w:rsid w:val="0037109E"/>
    <w:rsid w:val="003B5E81"/>
    <w:rsid w:val="00405FE1"/>
    <w:rsid w:val="00426113"/>
    <w:rsid w:val="00452388"/>
    <w:rsid w:val="00495516"/>
    <w:rsid w:val="00680116"/>
    <w:rsid w:val="00682CDF"/>
    <w:rsid w:val="007A4E28"/>
    <w:rsid w:val="007E6986"/>
    <w:rsid w:val="00887A08"/>
    <w:rsid w:val="008C62B8"/>
    <w:rsid w:val="009340F6"/>
    <w:rsid w:val="00A41EBE"/>
    <w:rsid w:val="00A71335"/>
    <w:rsid w:val="00A77D15"/>
    <w:rsid w:val="00A95FD7"/>
    <w:rsid w:val="00BB2367"/>
    <w:rsid w:val="00BC3962"/>
    <w:rsid w:val="00BC6844"/>
    <w:rsid w:val="00C63559"/>
    <w:rsid w:val="00CD56FC"/>
    <w:rsid w:val="00E14EE0"/>
    <w:rsid w:val="00E16C96"/>
    <w:rsid w:val="00E220DD"/>
    <w:rsid w:val="00E57CE8"/>
    <w:rsid w:val="00E916C7"/>
    <w:rsid w:val="00F04F60"/>
    <w:rsid w:val="00F23EA5"/>
    <w:rsid w:val="00F753D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A3CBBB0-D33B-40EB-965A-C619A06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3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2B8"/>
  </w:style>
  <w:style w:type="paragraph" w:styleId="Footer">
    <w:name w:val="footer"/>
    <w:basedOn w:val="Normal"/>
    <w:link w:val="FooterChar"/>
    <w:uiPriority w:val="99"/>
    <w:unhideWhenUsed/>
    <w:rsid w:val="008C62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2B8"/>
  </w:style>
  <w:style w:type="character" w:customStyle="1" w:styleId="Heading2Char">
    <w:name w:val="Heading 2 Char"/>
    <w:basedOn w:val="DefaultParagraphFont"/>
    <w:link w:val="Heading2"/>
    <w:uiPriority w:val="9"/>
    <w:semiHidden/>
    <w:rsid w:val="007E6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1919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  <w:div w:id="13306705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1392">
                          <w:marLeft w:val="0"/>
                          <w:marRight w:val="6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022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2" w:space="1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90295722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097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049095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f-europe.org/wp-content/uploads/2020/03/EP23-EU-Social-Partners-letter-COVID19-impact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Trujillo</dc:creator>
  <cp:lastModifiedBy>Andrea Albertazzi</cp:lastModifiedBy>
  <cp:revision>2</cp:revision>
  <dcterms:created xsi:type="dcterms:W3CDTF">2020-04-06T10:36:00Z</dcterms:created>
  <dcterms:modified xsi:type="dcterms:W3CDTF">2020-04-06T10:36:00Z</dcterms:modified>
</cp:coreProperties>
</file>